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4E533">
      <w:pPr>
        <w:keepNext w:val="0"/>
        <w:keepLines w:val="0"/>
        <w:pageBreakBefore w:val="0"/>
        <w:widowControl w:val="0"/>
        <w:kinsoku/>
        <w:wordWrap/>
        <w:overflowPunct/>
        <w:topLinePunct w:val="0"/>
        <w:bidi w:val="0"/>
        <w:snapToGrid/>
        <w:spacing w:line="360" w:lineRule="auto"/>
        <w:ind w:right="0"/>
        <w:jc w:val="center"/>
        <w:textAlignment w:val="auto"/>
        <w:rPr>
          <w:rFonts w:hint="eastAsia" w:ascii="Times New Roman" w:hAnsi="Times New Roman" w:eastAsia="宋体" w:cs="Times New Roman"/>
          <w:b/>
          <w:color w:val="auto"/>
          <w:spacing w:val="0"/>
          <w:sz w:val="28"/>
          <w:szCs w:val="28"/>
          <w:lang w:eastAsia="zh-CN"/>
        </w:rPr>
      </w:pPr>
      <w:r>
        <w:rPr>
          <w:rFonts w:hint="eastAsia" w:ascii="Times New Roman" w:hAnsi="Times New Roman" w:eastAsia="宋体" w:cs="Times New Roman"/>
          <w:b/>
          <w:color w:val="auto"/>
          <w:spacing w:val="0"/>
          <w:sz w:val="28"/>
          <w:szCs w:val="28"/>
          <w:lang w:eastAsia="zh-CN"/>
        </w:rPr>
        <w:t>永康康菱工贸有限公司年产300万只不锈钢保温杯生产线技改项目</w:t>
      </w:r>
    </w:p>
    <w:p w14:paraId="3EFED4A7">
      <w:pPr>
        <w:keepNext w:val="0"/>
        <w:keepLines w:val="0"/>
        <w:pageBreakBefore w:val="0"/>
        <w:widowControl w:val="0"/>
        <w:kinsoku/>
        <w:wordWrap/>
        <w:overflowPunct/>
        <w:topLinePunct w:val="0"/>
        <w:bidi w:val="0"/>
        <w:snapToGrid/>
        <w:spacing w:line="360" w:lineRule="auto"/>
        <w:ind w:right="0"/>
        <w:jc w:val="center"/>
        <w:textAlignment w:val="auto"/>
        <w:rPr>
          <w:rFonts w:hint="default" w:ascii="Times New Roman" w:hAnsi="Times New Roman" w:eastAsia="宋体" w:cs="Times New Roman"/>
          <w:b/>
          <w:color w:val="auto"/>
          <w:spacing w:val="0"/>
          <w:sz w:val="28"/>
          <w:szCs w:val="28"/>
        </w:rPr>
      </w:pPr>
      <w:r>
        <w:rPr>
          <w:rFonts w:hint="default" w:ascii="Times New Roman" w:hAnsi="Times New Roman" w:eastAsia="宋体" w:cs="Times New Roman"/>
          <w:b/>
          <w:color w:val="auto"/>
          <w:spacing w:val="0"/>
          <w:sz w:val="28"/>
          <w:szCs w:val="28"/>
        </w:rPr>
        <w:t>竣工环境保护</w:t>
      </w:r>
      <w:r>
        <w:rPr>
          <w:rFonts w:hint="eastAsia" w:ascii="Times New Roman" w:hAnsi="Times New Roman" w:eastAsia="宋体" w:cs="Times New Roman"/>
          <w:b/>
          <w:color w:val="auto"/>
          <w:spacing w:val="0"/>
          <w:sz w:val="28"/>
          <w:szCs w:val="28"/>
          <w:lang w:eastAsia="zh-CN"/>
        </w:rPr>
        <w:t>（</w:t>
      </w:r>
      <w:r>
        <w:rPr>
          <w:rFonts w:hint="eastAsia" w:ascii="Times New Roman" w:hAnsi="Times New Roman" w:eastAsia="宋体" w:cs="Times New Roman"/>
          <w:b/>
          <w:color w:val="auto"/>
          <w:spacing w:val="0"/>
          <w:sz w:val="28"/>
          <w:szCs w:val="28"/>
          <w:lang w:val="en-US" w:eastAsia="zh-CN"/>
        </w:rPr>
        <w:t>先行</w:t>
      </w:r>
      <w:r>
        <w:rPr>
          <w:rFonts w:hint="eastAsia" w:ascii="Times New Roman" w:hAnsi="Times New Roman" w:eastAsia="宋体" w:cs="Times New Roman"/>
          <w:b/>
          <w:color w:val="auto"/>
          <w:spacing w:val="0"/>
          <w:sz w:val="28"/>
          <w:szCs w:val="28"/>
          <w:lang w:eastAsia="zh-CN"/>
        </w:rPr>
        <w:t>）</w:t>
      </w:r>
      <w:r>
        <w:rPr>
          <w:rFonts w:hint="default" w:ascii="Times New Roman" w:hAnsi="Times New Roman" w:eastAsia="宋体" w:cs="Times New Roman"/>
          <w:b/>
          <w:color w:val="auto"/>
          <w:spacing w:val="0"/>
          <w:sz w:val="28"/>
          <w:szCs w:val="28"/>
        </w:rPr>
        <w:t>验收意见</w:t>
      </w:r>
    </w:p>
    <w:p w14:paraId="645C24B2">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年</w:t>
      </w:r>
      <w:r>
        <w:rPr>
          <w:rFonts w:hint="eastAsia" w:ascii="Times New Roman" w:hAnsi="Times New Roman"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月</w:t>
      </w:r>
      <w:r>
        <w:rPr>
          <w:rFonts w:hint="eastAsia" w:ascii="Times New Roman" w:hAnsi="Times New Roman"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日，</w:t>
      </w:r>
      <w:r>
        <w:rPr>
          <w:rFonts w:hint="eastAsia" w:ascii="Times New Roman" w:hAnsi="Times New Roman" w:cs="Times New Roman"/>
          <w:color w:val="auto"/>
          <w:sz w:val="24"/>
          <w:szCs w:val="24"/>
          <w:lang w:eastAsia="zh-CN"/>
        </w:rPr>
        <w:t>永康康菱工贸有限公司</w:t>
      </w:r>
      <w:r>
        <w:rPr>
          <w:rFonts w:hint="default" w:ascii="Times New Roman" w:hAnsi="Times New Roman" w:eastAsia="宋体" w:cs="Times New Roman"/>
          <w:color w:val="auto"/>
          <w:sz w:val="24"/>
          <w:szCs w:val="24"/>
          <w:lang w:eastAsia="zh-CN"/>
        </w:rPr>
        <w:t>根据《</w:t>
      </w:r>
      <w:bookmarkStart w:id="0" w:name="_Hlk57385975"/>
      <w:r>
        <w:rPr>
          <w:rFonts w:hint="eastAsia" w:ascii="Times New Roman" w:hAnsi="Times New Roman" w:cs="Times New Roman"/>
          <w:color w:val="auto"/>
          <w:sz w:val="24"/>
          <w:szCs w:val="24"/>
          <w:lang w:eastAsia="zh-CN"/>
        </w:rPr>
        <w:t>永康康菱工贸有限公司年产300万只不锈钢保温杯生产线技改项目</w:t>
      </w:r>
      <w:r>
        <w:rPr>
          <w:rFonts w:hint="default" w:ascii="Times New Roman" w:hAnsi="Times New Roman" w:eastAsia="宋体" w:cs="Times New Roman"/>
          <w:color w:val="auto"/>
          <w:sz w:val="24"/>
          <w:szCs w:val="24"/>
          <w:lang w:eastAsia="zh-CN"/>
        </w:rPr>
        <w:t>竣工环境保护验收监测报告</w:t>
      </w:r>
      <w:bookmarkEnd w:id="0"/>
      <w:r>
        <w:rPr>
          <w:rFonts w:hint="default" w:ascii="Times New Roman" w:hAnsi="Times New Roman" w:eastAsia="宋体" w:cs="Times New Roman"/>
          <w:color w:val="auto"/>
          <w:sz w:val="24"/>
          <w:szCs w:val="24"/>
          <w:lang w:eastAsia="zh-CN"/>
        </w:rPr>
        <w:t>》并对照《建</w:t>
      </w:r>
      <w:r>
        <w:rPr>
          <w:rFonts w:hint="default" w:ascii="Times New Roman" w:hAnsi="Times New Roman" w:eastAsia="宋体" w:cs="Times New Roman"/>
          <w:color w:val="auto"/>
          <w:sz w:val="24"/>
          <w:szCs w:val="24"/>
        </w:rPr>
        <w:t>设项目竣工环境保护验收暂行办法》（国环规环评[2017]4号）、关于印发《污染影响类建设项目重大变动清单（试行）》的通知（环办环评函（2020）688号），严格依照国家有关法律法规、建设项目竣工环境保护验收技术</w:t>
      </w:r>
      <w:r>
        <w:rPr>
          <w:rFonts w:hint="default" w:ascii="Times New Roman" w:hAnsi="Times New Roman" w:eastAsia="宋体" w:cs="Times New Roman"/>
          <w:color w:val="auto"/>
          <w:sz w:val="24"/>
          <w:szCs w:val="24"/>
          <w:lang w:val="en-US" w:eastAsia="zh-CN"/>
        </w:rPr>
        <w:t>规范</w:t>
      </w:r>
      <w:r>
        <w:rPr>
          <w:rFonts w:hint="default" w:ascii="Times New Roman" w:hAnsi="Times New Roman" w:eastAsia="宋体" w:cs="Times New Roman"/>
          <w:color w:val="auto"/>
          <w:sz w:val="24"/>
          <w:szCs w:val="24"/>
        </w:rPr>
        <w:t>、环境影响评价</w:t>
      </w:r>
      <w:r>
        <w:rPr>
          <w:rFonts w:hint="default" w:ascii="Times New Roman" w:hAnsi="Times New Roman" w:eastAsia="宋体" w:cs="Times New Roman"/>
          <w:color w:val="auto"/>
          <w:sz w:val="24"/>
          <w:szCs w:val="24"/>
          <w:lang w:val="en-US" w:eastAsia="zh-CN"/>
        </w:rPr>
        <w:t>报告表</w:t>
      </w:r>
      <w:r>
        <w:rPr>
          <w:rFonts w:hint="default" w:ascii="Times New Roman" w:hAnsi="Times New Roman" w:eastAsia="宋体" w:cs="Times New Roman"/>
          <w:color w:val="auto"/>
          <w:sz w:val="24"/>
          <w:szCs w:val="24"/>
        </w:rPr>
        <w:t>和审</w:t>
      </w:r>
      <w:r>
        <w:rPr>
          <w:rFonts w:hint="default" w:ascii="Times New Roman" w:hAnsi="Times New Roman" w:eastAsia="宋体" w:cs="Times New Roman"/>
          <w:color w:val="auto"/>
          <w:sz w:val="24"/>
          <w:szCs w:val="24"/>
          <w:lang w:eastAsia="zh-CN"/>
        </w:rPr>
        <w:t>批部门</w:t>
      </w:r>
      <w:r>
        <w:rPr>
          <w:rFonts w:hint="default" w:ascii="Times New Roman" w:hAnsi="Times New Roman" w:eastAsia="宋体" w:cs="Times New Roman"/>
          <w:color w:val="auto"/>
          <w:sz w:val="24"/>
          <w:szCs w:val="24"/>
          <w:lang w:val="en-US" w:eastAsia="zh-CN"/>
        </w:rPr>
        <w:t>审查意见</w:t>
      </w:r>
      <w:r>
        <w:rPr>
          <w:rFonts w:hint="default" w:ascii="Times New Roman" w:hAnsi="Times New Roman" w:eastAsia="宋体" w:cs="Times New Roman"/>
          <w:color w:val="auto"/>
          <w:sz w:val="24"/>
          <w:szCs w:val="24"/>
          <w:lang w:eastAsia="zh-CN"/>
        </w:rPr>
        <w:t>要求对</w:t>
      </w:r>
      <w:r>
        <w:rPr>
          <w:rFonts w:hint="eastAsia" w:ascii="Times New Roman" w:hAnsi="Times New Roman" w:cs="Times New Roman"/>
          <w:color w:val="auto"/>
          <w:sz w:val="24"/>
          <w:szCs w:val="24"/>
          <w:lang w:eastAsia="zh-CN"/>
        </w:rPr>
        <w:t>永康康菱工贸有限公司年产300万只不锈钢保温杯生产线技改项目</w:t>
      </w:r>
      <w:r>
        <w:rPr>
          <w:rFonts w:hint="default" w:ascii="Times New Roman" w:hAnsi="Times New Roman" w:eastAsia="宋体" w:cs="Times New Roman"/>
          <w:color w:val="auto"/>
          <w:sz w:val="24"/>
          <w:szCs w:val="24"/>
          <w:lang w:eastAsia="zh-CN"/>
        </w:rPr>
        <w:t>进行竣工环境保护验收。参加验收会议的有：</w:t>
      </w:r>
      <w:r>
        <w:rPr>
          <w:rFonts w:hint="eastAsia" w:ascii="Times New Roman" w:hAnsi="Times New Roman" w:cs="Times New Roman"/>
          <w:color w:val="auto"/>
          <w:sz w:val="24"/>
          <w:szCs w:val="24"/>
          <w:lang w:eastAsia="zh-CN"/>
        </w:rPr>
        <w:t>永康康菱工贸有限公司</w:t>
      </w:r>
      <w:r>
        <w:rPr>
          <w:rFonts w:hint="default" w:ascii="Times New Roman" w:hAnsi="Times New Roman" w:eastAsia="宋体" w:cs="Times New Roman"/>
          <w:color w:val="auto"/>
          <w:sz w:val="24"/>
          <w:szCs w:val="24"/>
          <w:lang w:eastAsia="zh-CN"/>
        </w:rPr>
        <w:t>（建设单位）</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eastAsia="zh-CN"/>
        </w:rPr>
        <w:t>浙江高鑫安全检测科技有限公司（验收监测单位）、</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永康市玮信环保设备有限公司（</w:t>
      </w:r>
      <w:r>
        <w:rPr>
          <w:rFonts w:hint="eastAsia" w:ascii="Times New Roman" w:hAnsi="Times New Roman" w:cs="Times New Roman"/>
          <w:color w:val="000000" w:themeColor="text1"/>
          <w:sz w:val="24"/>
          <w:szCs w:val="24"/>
          <w:lang w:val="en-US" w:eastAsia="zh-CN"/>
          <w14:textFill>
            <w14:solidFill>
              <w14:schemeClr w14:val="tx1"/>
            </w14:solidFill>
          </w14:textFill>
        </w:rPr>
        <w:t>环保设施</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设计及安装单位）</w:t>
      </w:r>
      <w:r>
        <w:rPr>
          <w:rFonts w:hint="default" w:ascii="Times New Roman" w:hAnsi="Times New Roman" w:eastAsia="宋体" w:cs="Times New Roman"/>
          <w:color w:val="auto"/>
          <w:sz w:val="24"/>
          <w:szCs w:val="24"/>
          <w:lang w:eastAsia="zh-CN"/>
        </w:rPr>
        <w:t>等</w:t>
      </w:r>
      <w:r>
        <w:rPr>
          <w:rFonts w:hint="default" w:ascii="Times New Roman" w:hAnsi="Times New Roman" w:eastAsia="宋体" w:cs="Times New Roman"/>
          <w:color w:val="auto"/>
          <w:sz w:val="24"/>
          <w:szCs w:val="24"/>
        </w:rPr>
        <w:t>单位的代表及特邀专家，参会人员组成验收组（人员名单附后）。会前验收组现场检查了该工程环保设施的建设和运行情况，会上分别听取了建设单位对该工程环保执行情况的汇报、浙江高鑫安全检测科技有限公司关于该工程竣工环境保护验收监测情况的汇报，经认真讨论，形成</w:t>
      </w:r>
      <w:r>
        <w:rPr>
          <w:rFonts w:hint="default" w:ascii="Times New Roman" w:hAnsi="Times New Roman" w:eastAsia="宋体" w:cs="Times New Roman"/>
          <w:color w:val="auto"/>
          <w:sz w:val="24"/>
          <w:szCs w:val="24"/>
          <w:lang w:val="en-US" w:eastAsia="zh-CN"/>
        </w:rPr>
        <w:t>先行</w:t>
      </w:r>
      <w:r>
        <w:rPr>
          <w:rFonts w:hint="default" w:ascii="Times New Roman" w:hAnsi="Times New Roman" w:eastAsia="宋体" w:cs="Times New Roman"/>
          <w:color w:val="auto"/>
          <w:sz w:val="24"/>
          <w:szCs w:val="24"/>
        </w:rPr>
        <w:t>竣工环境保护验收意见如下：</w:t>
      </w:r>
    </w:p>
    <w:p w14:paraId="1A3CFD21">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一、工程建设基本情况</w:t>
      </w:r>
    </w:p>
    <w:p w14:paraId="29F86D5A">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（一）建设地点、规模、主要建设内容</w:t>
      </w:r>
    </w:p>
    <w:p w14:paraId="58347A81">
      <w:pPr>
        <w:keepNext w:val="0"/>
        <w:keepLines w:val="0"/>
        <w:pageBreakBefore w:val="0"/>
        <w:widowControl w:val="0"/>
        <w:kinsoku/>
        <w:wordWrap/>
        <w:overflowPunct/>
        <w:topLinePunct w:val="0"/>
        <w:bidi w:val="0"/>
        <w:snapToGrid/>
        <w:spacing w:line="360" w:lineRule="auto"/>
        <w:ind w:firstLine="480"/>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我公司利用位于</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浙江省金华市永康市西溪镇小微园区A-06东侧地块8号厂房</w:t>
      </w:r>
      <w:r>
        <w:rPr>
          <w:rFonts w:hint="eastAsia" w:ascii="Times New Roman" w:hAnsi="Times New Roman" w:cs="Times New Roman"/>
          <w:color w:val="000000" w:themeColor="text1"/>
          <w:sz w:val="24"/>
          <w:szCs w:val="24"/>
          <w:lang w:val="en-US" w:eastAsia="zh-CN" w:bidi="zh-CN"/>
          <w14:textFill>
            <w14:solidFill>
              <w14:schemeClr w14:val="tx1"/>
            </w14:solidFill>
          </w14:textFill>
        </w:rPr>
        <w:t>空置厂房（8995.12m</w:t>
      </w:r>
      <w:r>
        <w:rPr>
          <w:rFonts w:hint="eastAsia" w:ascii="Times New Roman" w:hAnsi="Times New Roman" w:cs="Times New Roman"/>
          <w:color w:val="000000" w:themeColor="text1"/>
          <w:sz w:val="24"/>
          <w:szCs w:val="24"/>
          <w:vertAlign w:val="superscript"/>
          <w:lang w:val="en-US" w:eastAsia="zh-CN" w:bidi="zh-CN"/>
          <w14:textFill>
            <w14:solidFill>
              <w14:schemeClr w14:val="tx1"/>
            </w14:solidFill>
          </w14:textFill>
        </w:rPr>
        <w:t>2</w:t>
      </w:r>
      <w:r>
        <w:rPr>
          <w:rFonts w:hint="eastAsia" w:ascii="Times New Roman" w:hAnsi="Times New Roman" w:cs="Times New Roman"/>
          <w:color w:val="000000" w:themeColor="text1"/>
          <w:sz w:val="24"/>
          <w:szCs w:val="24"/>
          <w:lang w:val="en-US" w:eastAsia="zh-CN" w:bidi="zh-CN"/>
          <w14:textFill>
            <w14:solidFill>
              <w14:schemeClr w14:val="tx1"/>
            </w14:solidFill>
          </w14:textFill>
        </w:rPr>
        <w:t>）实施本项目。本项目实际总投</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资650万元</w:t>
      </w:r>
      <w:r>
        <w:rPr>
          <w:rFonts w:hint="eastAsia" w:ascii="Times New Roman" w:hAnsi="Times New Roman" w:cs="Times New Roman"/>
          <w:color w:val="000000" w:themeColor="text1"/>
          <w:sz w:val="24"/>
          <w:szCs w:val="24"/>
          <w:lang w:val="en-US" w:eastAsia="zh-CN" w:bidi="zh-CN"/>
          <w14:textFill>
            <w14:solidFill>
              <w14:schemeClr w14:val="tx1"/>
            </w14:solidFill>
          </w14:textFill>
        </w:rPr>
        <w:t>，实际环保投资</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50万元</w:t>
      </w:r>
      <w:r>
        <w:rPr>
          <w:rFonts w:hint="eastAsia" w:ascii="Times New Roman" w:hAnsi="Times New Roman" w:cs="Times New Roman"/>
          <w:color w:val="000000" w:themeColor="text1"/>
          <w:sz w:val="24"/>
          <w:szCs w:val="24"/>
          <w:lang w:val="en-US" w:eastAsia="zh-CN" w:bidi="zh-CN"/>
          <w14:textFill>
            <w14:solidFill>
              <w14:schemeClr w14:val="tx1"/>
            </w14:solidFill>
          </w14:textFill>
        </w:rPr>
        <w:t>，购置割管机、分杯机、水涨机、喷漆流水线等设备及配套环保系统，实施年产300万只不锈钢保温杯生产线技改项目。</w:t>
      </w:r>
    </w:p>
    <w:p w14:paraId="16014FEB">
      <w:pPr>
        <w:keepNext w:val="0"/>
        <w:keepLines w:val="0"/>
        <w:pageBreakBefore w:val="0"/>
        <w:widowControl w:val="0"/>
        <w:kinsoku/>
        <w:wordWrap/>
        <w:overflowPunct/>
        <w:topLinePunct w:val="0"/>
        <w:bidi w:val="0"/>
        <w:snapToGrid/>
        <w:spacing w:line="360" w:lineRule="auto"/>
        <w:ind w:firstLine="480"/>
        <w:textAlignment w:val="auto"/>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项目</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于2024年2月开工建设，至2024年4月30日竣工，2024年5月1日至2024年5月15日完成调试。建成后形成“年产300万只不锈钢保温杯”生产能力（</w:t>
      </w:r>
      <w:r>
        <w:rPr>
          <w:rFonts w:hint="eastAsia" w:ascii="Times New Roman" w:hAnsi="Times New Roman" w:cs="Times New Roman"/>
          <w:b/>
          <w:bCs/>
          <w:color w:val="000000" w:themeColor="text1"/>
          <w:sz w:val="24"/>
          <w:szCs w:val="24"/>
          <w:highlight w:val="none"/>
          <w:lang w:val="en-US" w:eastAsia="zh-CN" w:bidi="zh-CN"/>
          <w14:textFill>
            <w14:solidFill>
              <w14:schemeClr w14:val="tx1"/>
            </w14:solidFill>
          </w14:textFill>
        </w:rPr>
        <w:t>玻璃加工工序、超声波清洗线暂未建设</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w:t>
      </w:r>
      <w:r>
        <w:rPr>
          <w:rFonts w:hint="eastAsia" w:ascii="Times New Roman" w:hAnsi="Times New Roman" w:cs="Times New Roman"/>
          <w:color w:val="000000" w:themeColor="text1"/>
          <w:sz w:val="24"/>
          <w:szCs w:val="24"/>
          <w:lang w:val="en-US" w:eastAsia="zh-CN" w:bidi="zh-CN"/>
          <w14:textFill>
            <w14:solidFill>
              <w14:schemeClr w14:val="tx1"/>
            </w14:solidFill>
          </w14:textFill>
        </w:rPr>
        <w:t>。</w:t>
      </w:r>
    </w:p>
    <w:p w14:paraId="4DEAB14C">
      <w:pPr>
        <w:keepNext w:val="0"/>
        <w:keepLines w:val="0"/>
        <w:pageBreakBefore w:val="0"/>
        <w:widowControl w:val="0"/>
        <w:kinsoku/>
        <w:wordWrap/>
        <w:overflowPunct/>
        <w:topLinePunct w:val="0"/>
        <w:bidi w:val="0"/>
        <w:snapToGrid/>
        <w:spacing w:line="360" w:lineRule="auto"/>
        <w:ind w:firstLine="480"/>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本项目全厂员工人数40人，采用单班制生产，日作业时间为8h（夜间不生产），年工作300天，厂区内不设员工食堂和宿舍。</w:t>
      </w:r>
    </w:p>
    <w:p w14:paraId="05C0A566">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（二）建设过程及环保审批情况</w:t>
      </w:r>
    </w:p>
    <w:p w14:paraId="006E1B90">
      <w:pPr>
        <w:keepNext w:val="0"/>
        <w:keepLines w:val="0"/>
        <w:pageBreakBefore w:val="0"/>
        <w:widowControl w:val="0"/>
        <w:kinsoku/>
        <w:wordWrap/>
        <w:overflowPunct/>
        <w:topLinePunct w:val="0"/>
        <w:bidi w:val="0"/>
        <w:snapToGrid/>
        <w:spacing w:line="360" w:lineRule="auto"/>
        <w:ind w:firstLine="480"/>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2020年07月，永康市经济和信息化局对本项目立项备案，备案号：2020-330784-33-03-144109。</w:t>
      </w:r>
    </w:p>
    <w:p w14:paraId="49B84AE2">
      <w:pPr>
        <w:keepNext w:val="0"/>
        <w:keepLines w:val="0"/>
        <w:pageBreakBefore w:val="0"/>
        <w:widowControl w:val="0"/>
        <w:kinsoku/>
        <w:wordWrap/>
        <w:overflowPunct/>
        <w:topLinePunct w:val="0"/>
        <w:bidi w:val="0"/>
        <w:snapToGrid/>
        <w:spacing w:line="360" w:lineRule="auto"/>
        <w:ind w:firstLine="480"/>
        <w:textAlignment w:val="auto"/>
        <w:rPr>
          <w:rFonts w:hint="default" w:ascii="Times New Roman" w:hAnsi="Times New Roman" w:eastAsia="宋体" w:cs="Times New Roman"/>
          <w:color w:val="auto"/>
          <w:sz w:val="24"/>
          <w:szCs w:val="24"/>
          <w:highlight w:val="none"/>
          <w:lang w:val="en-US" w:eastAsia="zh-CN" w:bidi="zh-CN"/>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2023年12月，我公司委托浙江凯峰慈欣环保科技有限责任公司编制了《永康市康菱工贸有限公司年产300万只不锈钢保温杯生产线技改项目环境影响报告表》，于2024年1月26日通过金华市生态环境局审批（金环建永【2024】12号）。2024年10月11日企业取得排污许可登记回执，登记编号为：91330784MA2HUFE0X0001X</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w:t>
      </w:r>
    </w:p>
    <w:p w14:paraId="77F6E7E0">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（三）投资情况</w:t>
      </w:r>
    </w:p>
    <w:p w14:paraId="65B72052">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rPr>
        <w:t>项目</w:t>
      </w:r>
      <w:r>
        <w:rPr>
          <w:rFonts w:hint="default" w:ascii="Times New Roman" w:hAnsi="Times New Roman" w:eastAsia="宋体" w:cs="Times New Roman"/>
          <w:color w:val="auto"/>
          <w:sz w:val="24"/>
          <w:szCs w:val="24"/>
          <w:lang w:val="en-US" w:eastAsia="zh-CN"/>
        </w:rPr>
        <w:t>预计</w:t>
      </w:r>
      <w:r>
        <w:rPr>
          <w:rFonts w:hint="default" w:ascii="Times New Roman" w:hAnsi="Times New Roman" w:eastAsia="宋体" w:cs="Times New Roman"/>
          <w:color w:val="auto"/>
          <w:sz w:val="24"/>
          <w:szCs w:val="24"/>
          <w:lang w:val="en-US"/>
        </w:rPr>
        <w:t>总投资</w:t>
      </w:r>
      <w:r>
        <w:rPr>
          <w:rFonts w:hint="eastAsia" w:ascii="Times New Roman" w:hAnsi="Times New Roman" w:eastAsia="宋体" w:cs="Times New Roman"/>
          <w:color w:val="auto"/>
          <w:sz w:val="24"/>
          <w:szCs w:val="24"/>
          <w:lang w:val="en-US" w:eastAsia="zh-CN"/>
        </w:rPr>
        <w:t>705</w:t>
      </w:r>
      <w:r>
        <w:rPr>
          <w:rFonts w:hint="default" w:ascii="Times New Roman" w:hAnsi="Times New Roman" w:eastAsia="宋体" w:cs="Times New Roman"/>
          <w:color w:val="auto"/>
          <w:sz w:val="24"/>
          <w:szCs w:val="24"/>
          <w:lang w:val="en-US"/>
        </w:rPr>
        <w:t>万元，环保投资</w:t>
      </w:r>
      <w:r>
        <w:rPr>
          <w:rFonts w:hint="eastAsia" w:ascii="Times New Roman" w:hAnsi="Times New Roman" w:eastAsia="宋体" w:cs="Times New Roman"/>
          <w:color w:val="auto"/>
          <w:sz w:val="24"/>
          <w:szCs w:val="24"/>
          <w:lang w:val="en-US" w:eastAsia="zh-CN"/>
        </w:rPr>
        <w:t>50</w:t>
      </w:r>
      <w:r>
        <w:rPr>
          <w:rFonts w:hint="default" w:ascii="Times New Roman" w:hAnsi="Times New Roman" w:eastAsia="宋体" w:cs="Times New Roman"/>
          <w:color w:val="auto"/>
          <w:sz w:val="24"/>
          <w:szCs w:val="24"/>
          <w:lang w:val="en-US"/>
        </w:rPr>
        <w:t>万元</w:t>
      </w:r>
      <w:r>
        <w:rPr>
          <w:rFonts w:hint="default" w:ascii="Times New Roman" w:hAnsi="Times New Roman" w:eastAsia="宋体" w:cs="Times New Roman"/>
          <w:color w:val="auto"/>
          <w:sz w:val="24"/>
          <w:szCs w:val="24"/>
        </w:rPr>
        <w:t>，占总投资</w:t>
      </w:r>
      <w:r>
        <w:rPr>
          <w:rFonts w:hint="eastAsia" w:ascii="Times New Roman" w:hAnsi="Times New Roman" w:eastAsia="宋体" w:cs="Times New Roman"/>
          <w:color w:val="auto"/>
          <w:sz w:val="24"/>
          <w:szCs w:val="24"/>
          <w:lang w:val="en-US" w:eastAsia="zh-CN"/>
        </w:rPr>
        <w:t>7.09</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项目实际总投资</w:t>
      </w:r>
      <w:r>
        <w:rPr>
          <w:rFonts w:hint="eastAsia" w:ascii="Times New Roman" w:hAnsi="Times New Roman" w:eastAsia="宋体" w:cs="Times New Roman"/>
          <w:color w:val="auto"/>
          <w:sz w:val="24"/>
          <w:szCs w:val="24"/>
          <w:lang w:val="en-US" w:eastAsia="zh-CN"/>
        </w:rPr>
        <w:t>650</w:t>
      </w:r>
      <w:r>
        <w:rPr>
          <w:rFonts w:hint="default" w:ascii="Times New Roman" w:hAnsi="Times New Roman" w:eastAsia="宋体" w:cs="Times New Roman"/>
          <w:color w:val="auto"/>
          <w:sz w:val="24"/>
          <w:szCs w:val="24"/>
          <w:lang w:val="en-US" w:eastAsia="zh-CN"/>
        </w:rPr>
        <w:t>万元，环保投资</w:t>
      </w:r>
      <w:r>
        <w:rPr>
          <w:rFonts w:hint="eastAsia" w:ascii="Times New Roman" w:hAnsi="Times New Roman" w:eastAsia="宋体" w:cs="Times New Roman"/>
          <w:color w:val="auto"/>
          <w:sz w:val="24"/>
          <w:szCs w:val="24"/>
          <w:lang w:val="en-US" w:eastAsia="zh-CN"/>
        </w:rPr>
        <w:t>50</w:t>
      </w:r>
      <w:r>
        <w:rPr>
          <w:rFonts w:hint="default" w:ascii="Times New Roman" w:hAnsi="Times New Roman" w:eastAsia="宋体" w:cs="Times New Roman"/>
          <w:color w:val="auto"/>
          <w:sz w:val="24"/>
          <w:szCs w:val="24"/>
          <w:lang w:val="en-US" w:eastAsia="zh-CN"/>
        </w:rPr>
        <w:t>万元，</w:t>
      </w:r>
      <w:r>
        <w:rPr>
          <w:rFonts w:hint="default" w:ascii="Times New Roman" w:hAnsi="Times New Roman" w:eastAsia="宋体" w:cs="Times New Roman"/>
          <w:color w:val="auto"/>
          <w:sz w:val="24"/>
          <w:szCs w:val="24"/>
        </w:rPr>
        <w:t>占总投资</w:t>
      </w:r>
      <w:r>
        <w:rPr>
          <w:rFonts w:hint="eastAsia" w:ascii="Times New Roman" w:hAnsi="Times New Roman" w:eastAsia="宋体" w:cs="Times New Roman"/>
          <w:color w:val="auto"/>
          <w:sz w:val="24"/>
          <w:szCs w:val="24"/>
          <w:lang w:val="en-US" w:eastAsia="zh-CN"/>
        </w:rPr>
        <w:t>7.69</w:t>
      </w:r>
      <w:r>
        <w:rPr>
          <w:rFonts w:hint="default" w:ascii="Times New Roman" w:hAnsi="Times New Roman" w:eastAsia="宋体" w:cs="Times New Roman"/>
          <w:color w:val="auto"/>
          <w:sz w:val="24"/>
          <w:szCs w:val="24"/>
          <w:lang w:val="en-US" w:eastAsia="zh-CN"/>
        </w:rPr>
        <w:t>%。</w:t>
      </w:r>
    </w:p>
    <w:p w14:paraId="2BEEAD89">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（四）验收范围</w:t>
      </w:r>
    </w:p>
    <w:p w14:paraId="787C90DD">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sz w:val="24"/>
          <w:szCs w:val="24"/>
          <w:highlight w:val="none"/>
          <w:lang w:val="en-US"/>
        </w:rPr>
        <w:t>本次验收为对</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永康康菱工</w:t>
      </w:r>
      <w:r>
        <w:rPr>
          <w:rFonts w:hint="eastAsia" w:ascii="Times New Roman" w:hAnsi="Times New Roman" w:eastAsia="宋体" w:cs="Times New Roman"/>
          <w:color w:val="auto"/>
          <w:sz w:val="24"/>
          <w:szCs w:val="24"/>
          <w:highlight w:val="none"/>
          <w:lang w:val="en-US" w:eastAsia="zh-CN"/>
        </w:rPr>
        <w:t>贸有限公司年产300万只不锈钢保温杯生产线技改项</w:t>
      </w:r>
      <w:r>
        <w:rPr>
          <w:rFonts w:hint="eastAsia" w:ascii="宋体" w:hAnsi="宋体" w:eastAsia="宋体" w:cs="宋体"/>
          <w:color w:val="auto"/>
          <w:sz w:val="24"/>
          <w:szCs w:val="24"/>
          <w:highlight w:val="none"/>
          <w:lang w:val="en-US" w:eastAsia="zh-CN"/>
        </w:rPr>
        <w:t>目</w:t>
      </w:r>
      <w:r>
        <w:rPr>
          <w:rFonts w:hint="eastAsia" w:ascii="宋体" w:hAnsi="宋体" w:eastAsia="宋体" w:cs="宋体"/>
          <w:color w:val="auto"/>
          <w:sz w:val="24"/>
          <w:szCs w:val="24"/>
          <w:highlight w:val="none"/>
          <w:lang w:val="en-US"/>
        </w:rPr>
        <w:t>”的</w:t>
      </w:r>
      <w:r>
        <w:rPr>
          <w:rFonts w:hint="default" w:ascii="Times New Roman" w:hAnsi="Times New Roman" w:eastAsia="宋体" w:cs="Times New Roman"/>
          <w:color w:val="auto"/>
          <w:sz w:val="24"/>
          <w:szCs w:val="24"/>
          <w:highlight w:val="none"/>
          <w:lang w:val="en-US"/>
        </w:rPr>
        <w:t>先行验收，</w:t>
      </w:r>
      <w:r>
        <w:rPr>
          <w:rFonts w:hint="default" w:ascii="Times New Roman" w:hAnsi="Times New Roman" w:eastAsia="宋体" w:cs="Times New Roman"/>
          <w:color w:val="auto"/>
          <w:sz w:val="24"/>
          <w:szCs w:val="24"/>
          <w:highlight w:val="none"/>
          <w:lang w:val="en-US" w:eastAsia="zh-CN"/>
        </w:rPr>
        <w:t>验收范围为</w:t>
      </w:r>
      <w:r>
        <w:rPr>
          <w:rFonts w:hint="eastAsia" w:ascii="宋体" w:hAnsi="宋体" w:eastAsia="宋体" w:cs="宋体"/>
          <w:color w:val="auto"/>
          <w:sz w:val="24"/>
          <w:szCs w:val="24"/>
          <w:highlight w:val="none"/>
          <w:lang w:val="en-US" w:eastAsia="zh-CN"/>
        </w:rPr>
        <w:t>“年产</w:t>
      </w:r>
      <w:r>
        <w:rPr>
          <w:rFonts w:hint="eastAsia" w:ascii="Times New Roman" w:hAnsi="Times New Roman" w:eastAsia="宋体" w:cs="Times New Roman"/>
          <w:color w:val="auto"/>
          <w:sz w:val="24"/>
          <w:szCs w:val="24"/>
          <w:highlight w:val="none"/>
          <w:lang w:val="en-US" w:eastAsia="zh-CN"/>
        </w:rPr>
        <w:t>300万只不锈钢保温杯生产线技改项</w:t>
      </w:r>
      <w:r>
        <w:rPr>
          <w:rFonts w:hint="eastAsia" w:ascii="宋体" w:hAnsi="宋体" w:eastAsia="宋体" w:cs="宋体"/>
          <w:color w:val="auto"/>
          <w:sz w:val="24"/>
          <w:szCs w:val="24"/>
          <w:highlight w:val="none"/>
          <w:lang w:val="en-US" w:eastAsia="zh-CN"/>
        </w:rPr>
        <w:t>目（</w:t>
      </w:r>
      <w:r>
        <w:rPr>
          <w:rFonts w:hint="eastAsia" w:ascii="Times New Roman" w:hAnsi="Times New Roman" w:cs="Times New Roman"/>
          <w:b/>
          <w:bCs/>
          <w:color w:val="000000" w:themeColor="text1"/>
          <w:sz w:val="24"/>
          <w:szCs w:val="24"/>
          <w:highlight w:val="none"/>
          <w:lang w:val="en-US" w:bidi="zh-CN"/>
          <w14:textFill>
            <w14:solidFill>
              <w14:schemeClr w14:val="tx1"/>
            </w14:solidFill>
          </w14:textFill>
        </w:rPr>
        <w:t>玻璃加工工序、超声波清洗线暂未建设</w:t>
      </w:r>
      <w:r>
        <w:rPr>
          <w:rFonts w:hint="eastAsia" w:ascii="宋体" w:hAnsi="宋体" w:eastAsia="宋体" w:cs="宋体"/>
          <w:color w:val="auto"/>
          <w:sz w:val="24"/>
          <w:szCs w:val="24"/>
          <w:highlight w:val="none"/>
          <w:lang w:val="en-US" w:eastAsia="zh-CN"/>
        </w:rPr>
        <w:t>）”</w:t>
      </w:r>
      <w:r>
        <w:rPr>
          <w:rFonts w:hint="default" w:ascii="Times New Roman" w:hAnsi="Times New Roman" w:eastAsia="宋体" w:cs="Times New Roman"/>
          <w:color w:val="auto"/>
          <w:sz w:val="24"/>
          <w:szCs w:val="24"/>
          <w:highlight w:val="none"/>
        </w:rPr>
        <w:t>。验收实施项目环保</w:t>
      </w:r>
      <w:r>
        <w:rPr>
          <w:rFonts w:hint="default" w:ascii="Times New Roman" w:hAnsi="Times New Roman" w:eastAsia="宋体" w:cs="Times New Roman"/>
          <w:color w:val="auto"/>
          <w:kern w:val="0"/>
          <w:sz w:val="24"/>
          <w:szCs w:val="24"/>
        </w:rPr>
        <w:t>设备（措施）落实情况，污染物达标排放及总量控制情况</w:t>
      </w:r>
      <w:r>
        <w:rPr>
          <w:rFonts w:hint="eastAsia" w:ascii="Times New Roman" w:hAnsi="Times New Roman" w:eastAsia="宋体" w:cs="Times New Roman"/>
          <w:color w:val="auto"/>
          <w:kern w:val="0"/>
          <w:sz w:val="24"/>
          <w:szCs w:val="24"/>
          <w:lang w:eastAsia="zh-CN"/>
        </w:rPr>
        <w:t>，</w:t>
      </w:r>
      <w:r>
        <w:rPr>
          <w:rFonts w:hint="eastAsia" w:ascii="Times New Roman" w:hAnsi="Times New Roman" w:eastAsia="宋体" w:cs="Times New Roman"/>
          <w:color w:val="auto"/>
          <w:kern w:val="0"/>
          <w:sz w:val="24"/>
          <w:szCs w:val="24"/>
          <w:lang w:val="en-US" w:eastAsia="zh-CN"/>
        </w:rPr>
        <w:t>本次为先行验收</w:t>
      </w:r>
      <w:r>
        <w:rPr>
          <w:rFonts w:hint="default" w:ascii="Times New Roman" w:hAnsi="Times New Roman" w:eastAsia="宋体" w:cs="Times New Roman"/>
          <w:color w:val="auto"/>
          <w:kern w:val="0"/>
          <w:sz w:val="24"/>
          <w:szCs w:val="24"/>
        </w:rPr>
        <w:t>。</w:t>
      </w:r>
    </w:p>
    <w:p w14:paraId="76A5DD09">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二、工程变动情况</w:t>
      </w:r>
    </w:p>
    <w:p w14:paraId="0E19061A">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根据现场核查，</w:t>
      </w:r>
      <w:r>
        <w:rPr>
          <w:rFonts w:hint="eastAsia" w:ascii="Times New Roman" w:hAnsi="Times New Roman" w:cs="Times New Roman"/>
          <w:sz w:val="24"/>
          <w:szCs w:val="24"/>
          <w:highlight w:val="none"/>
          <w:lang w:val="en-US" w:eastAsia="zh-CN"/>
        </w:rPr>
        <w:t>项目实际生产设备种类、实际生产设备数量与环评相比有变化，其中超声波清洗线减少2条、清洗烘干烘箱减少2台、自动割管机减少7台、自动烧底机减少10台、自动平口机减少6台、玻璃加工烘道减少1条，项目设备的变化不新增产能，不新增污染物及污染物排放量，不影响产能，不属于重大变动；现有实际生产过程中原辅料种类与环评相比有变化，玻璃加工工序、超声波清洗线暂未建设，玻璃管、除油剂、洗车水暂未使用；危废仓库位置调整后位于5F东南角，厂区平面布置变化未导致环境防护距离范围变化且未新增敏感点</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根据《污染影响类建设项目重大变动清单</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试行</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》的通知（环办环评函〔2020〕688号），本项目不存在重大变化。</w:t>
      </w:r>
    </w:p>
    <w:p w14:paraId="047075C7">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三、环境保护设施落实情况</w:t>
      </w:r>
    </w:p>
    <w:p w14:paraId="3733B45E">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zh-CN"/>
        </w:rPr>
        <w:t>一）废水</w:t>
      </w:r>
    </w:p>
    <w:p w14:paraId="51266CCF">
      <w:pPr>
        <w:keepNext w:val="0"/>
        <w:keepLines w:val="0"/>
        <w:pageBreakBefore w:val="0"/>
        <w:widowControl w:val="0"/>
        <w:kinsoku/>
        <w:wordWrap/>
        <w:overflowPunct/>
        <w:topLinePunct w:val="0"/>
        <w:bidi w:val="0"/>
        <w:snapToGrid/>
        <w:spacing w:line="360" w:lineRule="auto"/>
        <w:ind w:right="0" w:firstLine="480" w:firstLineChars="200"/>
        <w:jc w:val="left"/>
        <w:textAlignment w:val="auto"/>
        <w:rPr>
          <w:rFonts w:hint="default" w:ascii="Times New Roman" w:hAnsi="Times New Roman" w:eastAsia="宋体" w:cs="Times New Roman"/>
          <w:color w:val="auto"/>
          <w:sz w:val="24"/>
          <w:szCs w:val="24"/>
          <w:lang w:bidi="zh-CN"/>
        </w:rPr>
      </w:pPr>
      <w:r>
        <w:rPr>
          <w:rFonts w:hint="default" w:ascii="Times New Roman" w:hAnsi="Times New Roman" w:eastAsia="宋体" w:cs="Times New Roman"/>
          <w:color w:val="auto"/>
          <w:sz w:val="24"/>
          <w:szCs w:val="24"/>
          <w:lang w:val="en-US" w:eastAsia="zh-CN" w:bidi="zh-CN"/>
        </w:rPr>
        <w:t>厂区排水实行雨污分流；雨水收集后排入市政雨水管网；项目生产废水经过污水处理站（隔油+混凝沉淀）处理，生活污水经厂区化粪池预处理，分别达到《污水综合排放标准》（GB 8978-1996）中的三级标准（其中氨氮排放执行《工业企业废水氮、磷污染物间接排放限值》（DB 33/887-2013）中标准限值）后，汇同后纳管通过永康市龙山镇污水处理厂处理达标后排入华溪</w:t>
      </w:r>
      <w:r>
        <w:rPr>
          <w:rFonts w:hint="default" w:ascii="Times New Roman" w:hAnsi="Times New Roman" w:eastAsia="宋体" w:cs="Times New Roman"/>
          <w:color w:val="auto"/>
          <w:sz w:val="24"/>
          <w:szCs w:val="24"/>
          <w:lang w:bidi="zh-CN"/>
        </w:rPr>
        <w:t>。</w:t>
      </w:r>
    </w:p>
    <w:p w14:paraId="02F5D5FD">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（二）废气</w:t>
      </w:r>
    </w:p>
    <w:p w14:paraId="7762FE68">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本项目废气主要为抛光粉尘、喷漆、烘干、丝印、天然气燃烧废气</w:t>
      </w:r>
      <w:r>
        <w:rPr>
          <w:rFonts w:hint="eastAsia" w:ascii="Times New Roman" w:hAnsi="Times New Roman" w:cs="Times New Roman"/>
          <w:color w:val="auto"/>
          <w:sz w:val="24"/>
          <w:szCs w:val="24"/>
          <w:lang w:val="en-US" w:eastAsia="zh-CN"/>
        </w:rPr>
        <w:t>、焊接工序废气</w:t>
      </w:r>
      <w:r>
        <w:rPr>
          <w:rFonts w:hint="default" w:ascii="Times New Roman" w:hAnsi="Times New Roman" w:eastAsia="宋体" w:cs="Times New Roman"/>
          <w:color w:val="auto"/>
          <w:sz w:val="24"/>
          <w:szCs w:val="24"/>
          <w:lang w:val="en-US" w:eastAsia="zh-CN"/>
        </w:rPr>
        <w:t>。</w:t>
      </w:r>
    </w:p>
    <w:p w14:paraId="21AE903D">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①</w:t>
      </w:r>
      <w:r>
        <w:rPr>
          <w:rFonts w:hint="eastAsia" w:ascii="Times New Roman" w:hAnsi="Times New Roman" w:cs="Times New Roman"/>
          <w:highlight w:val="none"/>
          <w:lang w:val="en-US" w:eastAsia="zh-CN"/>
        </w:rPr>
        <w:t>抛光粉尘</w:t>
      </w:r>
      <w:r>
        <w:rPr>
          <w:rFonts w:hint="default" w:ascii="Times New Roman" w:hAnsi="Times New Roman" w:eastAsia="宋体" w:cs="Times New Roman"/>
          <w:highlight w:val="none"/>
          <w:lang w:val="en-US" w:eastAsia="zh-CN"/>
        </w:rPr>
        <w:t>收集后经</w:t>
      </w:r>
      <w:r>
        <w:rPr>
          <w:rFonts w:hint="eastAsia" w:ascii="宋体" w:hAnsi="宋体" w:eastAsia="宋体" w:cs="宋体"/>
          <w:highlight w:val="none"/>
          <w:lang w:val="en-US" w:eastAsia="zh-CN"/>
        </w:rPr>
        <w:t>“水喷淋除尘装置”</w:t>
      </w:r>
      <w:r>
        <w:rPr>
          <w:rFonts w:hint="default" w:ascii="Times New Roman" w:hAnsi="Times New Roman" w:eastAsia="宋体" w:cs="Times New Roman"/>
          <w:highlight w:val="none"/>
          <w:lang w:val="en-US" w:eastAsia="zh-CN"/>
        </w:rPr>
        <w:t>处理后经25m高排气筒（DA001）排放；</w:t>
      </w:r>
    </w:p>
    <w:p w14:paraId="7EF4EB93">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②喷漆废气先经水帘除漆雾，再与烘干废气、丝印废气、天然气燃烧废气、危废仓库废气一并接入</w:t>
      </w:r>
      <w:r>
        <w:rPr>
          <w:rFonts w:hint="eastAsia" w:ascii="宋体" w:hAnsi="宋体" w:eastAsia="宋体" w:cs="宋体"/>
          <w:highlight w:val="none"/>
          <w:lang w:val="en-US" w:eastAsia="zh-CN"/>
        </w:rPr>
        <w:t>“水旋塔+干式过滤+活性炭吸附/脱附+催化燃烧处理装置”</w:t>
      </w:r>
      <w:r>
        <w:rPr>
          <w:rFonts w:hint="default" w:ascii="Times New Roman" w:hAnsi="Times New Roman" w:eastAsia="宋体" w:cs="Times New Roman"/>
          <w:highlight w:val="none"/>
          <w:lang w:val="en-US" w:eastAsia="zh-CN"/>
        </w:rPr>
        <w:t>处理后经25m高排气筒（DA002）排放；</w:t>
      </w:r>
    </w:p>
    <w:p w14:paraId="31D1D808">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③</w:t>
      </w:r>
      <w:r>
        <w:rPr>
          <w:rFonts w:hint="eastAsia" w:ascii="Times New Roman" w:hAnsi="Times New Roman" w:cs="Times New Roman"/>
          <w:color w:val="auto"/>
          <w:sz w:val="24"/>
          <w:szCs w:val="24"/>
          <w:lang w:val="en-US" w:eastAsia="zh-CN"/>
        </w:rPr>
        <w:t>焊接工序废气</w:t>
      </w:r>
      <w:r>
        <w:rPr>
          <w:rFonts w:hint="default" w:ascii="Times New Roman" w:hAnsi="Times New Roman" w:eastAsia="宋体" w:cs="Times New Roman"/>
          <w:highlight w:val="none"/>
          <w:lang w:val="en-US" w:eastAsia="zh-CN"/>
        </w:rPr>
        <w:t>无组织排放，加强通风处理。</w:t>
      </w:r>
    </w:p>
    <w:p w14:paraId="7252483F">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22"/>
          <w:sz w:val="24"/>
          <w:szCs w:val="24"/>
          <w:lang w:val="zh-CN"/>
        </w:rPr>
      </w:pPr>
      <w:r>
        <w:rPr>
          <w:rFonts w:hint="default" w:ascii="Times New Roman" w:hAnsi="Times New Roman" w:eastAsia="宋体" w:cs="Times New Roman"/>
          <w:color w:val="auto"/>
          <w:kern w:val="22"/>
          <w:sz w:val="24"/>
          <w:szCs w:val="24"/>
          <w:lang w:val="zh-CN"/>
        </w:rPr>
        <w:t>（三）噪声</w:t>
      </w:r>
    </w:p>
    <w:p w14:paraId="1B4793B1">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本项目对高噪声设备采取防震、降噪措施；选用低噪声设备；平时加强设备的维护，确保设备处于良好的运转状态，杜绝因设备不正常运转时产生的高噪声现象。</w:t>
      </w:r>
    </w:p>
    <w:p w14:paraId="3DACEF2B">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（四）固体废物</w:t>
      </w:r>
    </w:p>
    <w:p w14:paraId="5A76668D">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危险固废：设置危险固废暂存间，位于厂房5F东南角，占地10m</w:t>
      </w:r>
      <w:r>
        <w:rPr>
          <w:rFonts w:hint="default" w:ascii="Times New Roman" w:hAnsi="Times New Roman" w:eastAsia="宋体" w:cs="Times New Roman"/>
          <w:color w:val="auto"/>
          <w:kern w:val="0"/>
          <w:sz w:val="24"/>
          <w:szCs w:val="24"/>
          <w:vertAlign w:val="superscript"/>
          <w:lang w:val="en-US" w:eastAsia="zh-CN"/>
        </w:rPr>
        <w:t>2</w:t>
      </w:r>
      <w:r>
        <w:rPr>
          <w:rFonts w:hint="default" w:ascii="Times New Roman" w:hAnsi="Times New Roman" w:eastAsia="宋体" w:cs="Times New Roman"/>
          <w:color w:val="auto"/>
          <w:kern w:val="0"/>
          <w:sz w:val="24"/>
          <w:szCs w:val="24"/>
          <w:lang w:val="en-US" w:eastAsia="zh-CN"/>
        </w:rPr>
        <w:t>，分类收集后委托</w:t>
      </w:r>
      <w:r>
        <w:rPr>
          <w:rFonts w:hint="eastAsia" w:ascii="Times New Roman" w:hAnsi="Times New Roman" w:eastAsia="宋体" w:cs="Times New Roman"/>
          <w:color w:val="auto"/>
          <w:kern w:val="0"/>
          <w:sz w:val="24"/>
          <w:szCs w:val="24"/>
          <w:lang w:val="en-US" w:eastAsia="zh-CN"/>
        </w:rPr>
        <w:t>有资质单位</w:t>
      </w:r>
      <w:r>
        <w:rPr>
          <w:rFonts w:hint="default" w:ascii="Times New Roman" w:hAnsi="Times New Roman" w:eastAsia="宋体" w:cs="Times New Roman"/>
          <w:color w:val="auto"/>
          <w:kern w:val="0"/>
          <w:sz w:val="24"/>
          <w:szCs w:val="24"/>
          <w:lang w:val="en-US" w:eastAsia="zh-CN"/>
        </w:rPr>
        <w:t>进行处置；</w:t>
      </w:r>
    </w:p>
    <w:p w14:paraId="5324B3B9">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一般固废：设置一般固废仓库，一般固废定期外售给物资单位，位于厂房1F。生活垃圾：委托环卫部门处置。</w:t>
      </w:r>
    </w:p>
    <w:p w14:paraId="1E85F3C8">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五</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其他</w:t>
      </w:r>
    </w:p>
    <w:p w14:paraId="699C961F">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企业</w:t>
      </w:r>
      <w:r>
        <w:rPr>
          <w:rFonts w:hint="default" w:ascii="Times New Roman" w:hAnsi="Times New Roman" w:eastAsia="宋体" w:cs="Times New Roman"/>
          <w:color w:val="auto"/>
          <w:sz w:val="24"/>
          <w:szCs w:val="24"/>
          <w:lang w:val="en-US" w:eastAsia="zh-CN"/>
        </w:rPr>
        <w:t>建立</w:t>
      </w:r>
      <w:r>
        <w:rPr>
          <w:rFonts w:hint="eastAsia" w:ascii="Times New Roman" w:hAnsi="Times New Roman" w:eastAsia="宋体" w:cs="Times New Roman"/>
          <w:color w:val="auto"/>
          <w:sz w:val="24"/>
          <w:szCs w:val="24"/>
          <w:lang w:val="en-US" w:eastAsia="zh-CN"/>
        </w:rPr>
        <w:t>了环保</w:t>
      </w:r>
      <w:r>
        <w:rPr>
          <w:rFonts w:hint="default" w:ascii="Times New Roman" w:hAnsi="Times New Roman" w:eastAsia="宋体" w:cs="Times New Roman"/>
          <w:color w:val="auto"/>
          <w:sz w:val="24"/>
          <w:szCs w:val="24"/>
          <w:lang w:val="en-US" w:eastAsia="zh-CN"/>
        </w:rPr>
        <w:t>岗位责任制，制定了完善的</w:t>
      </w:r>
      <w:r>
        <w:rPr>
          <w:rFonts w:hint="eastAsia" w:ascii="Times New Roman" w:hAnsi="Times New Roman" w:eastAsia="宋体" w:cs="Times New Roman"/>
          <w:color w:val="auto"/>
          <w:sz w:val="24"/>
          <w:szCs w:val="24"/>
          <w:lang w:val="en-US" w:eastAsia="zh-CN"/>
        </w:rPr>
        <w:t>环保管理</w:t>
      </w:r>
      <w:r>
        <w:rPr>
          <w:rFonts w:hint="default" w:ascii="Times New Roman" w:hAnsi="Times New Roman" w:eastAsia="宋体" w:cs="Times New Roman"/>
          <w:color w:val="auto"/>
          <w:sz w:val="24"/>
          <w:szCs w:val="24"/>
          <w:lang w:val="en-US" w:eastAsia="zh-CN"/>
        </w:rPr>
        <w:t>制度等</w:t>
      </w:r>
      <w:r>
        <w:rPr>
          <w:rFonts w:hint="eastAsia" w:ascii="Times New Roman" w:hAnsi="Times New Roman" w:eastAsia="宋体" w:cs="Times New Roman"/>
          <w:color w:val="auto"/>
          <w:sz w:val="24"/>
          <w:szCs w:val="24"/>
          <w:lang w:val="en-US" w:eastAsia="zh-CN"/>
        </w:rPr>
        <w:t>和岗位责任制度等</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本项目无环境防护距离要求，无在线监测设施要求。</w:t>
      </w:r>
    </w:p>
    <w:p w14:paraId="16EE7E6C">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本项目为新建项目，不涉及以新带老、淘汰落后生产设备等措施</w:t>
      </w:r>
      <w:r>
        <w:rPr>
          <w:rFonts w:hint="default" w:ascii="Times New Roman" w:hAnsi="Times New Roman" w:eastAsia="宋体" w:cs="Times New Roman"/>
          <w:color w:val="auto"/>
          <w:sz w:val="24"/>
          <w:szCs w:val="24"/>
          <w:lang w:val="en-US" w:eastAsia="zh-CN"/>
        </w:rPr>
        <w:t>。</w:t>
      </w:r>
    </w:p>
    <w:p w14:paraId="36921E1F">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四、环境保护设施调试效果</w:t>
      </w:r>
    </w:p>
    <w:p w14:paraId="520BDE1D">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（一）废水监测结论</w:t>
      </w:r>
    </w:p>
    <w:p w14:paraId="11651031">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验收监测期间，污水总排放口</w:t>
      </w:r>
      <w:r>
        <w:rPr>
          <w:rFonts w:hint="default" w:ascii="Times New Roman" w:hAnsi="Times New Roman" w:eastAsia="宋体" w:cs="Times New Roman"/>
          <w:color w:val="auto"/>
          <w:sz w:val="24"/>
          <w:szCs w:val="24"/>
          <w:lang w:val="en-US" w:eastAsia="zh-CN"/>
        </w:rPr>
        <w:t>（DW001-2）的废</w:t>
      </w:r>
      <w:r>
        <w:rPr>
          <w:rFonts w:hint="default" w:ascii="Times New Roman" w:hAnsi="Times New Roman" w:eastAsia="宋体" w:cs="Times New Roman"/>
          <w:color w:val="auto"/>
          <w:sz w:val="24"/>
          <w:szCs w:val="24"/>
          <w:lang w:eastAsia="zh-CN"/>
        </w:rPr>
        <w:t>水中pH、悬浮物、</w:t>
      </w:r>
      <w:r>
        <w:rPr>
          <w:rFonts w:hint="default" w:ascii="Times New Roman" w:hAnsi="Times New Roman" w:eastAsia="宋体" w:cs="Times New Roman"/>
          <w:color w:val="auto"/>
          <w:sz w:val="24"/>
          <w:szCs w:val="24"/>
          <w:lang w:val="en-US" w:eastAsia="zh-CN"/>
        </w:rPr>
        <w:t>五日生化需氧量、化学需氧量、动植物油类、石油类、阴离子表面活性剂</w:t>
      </w:r>
      <w:r>
        <w:rPr>
          <w:rFonts w:hint="default" w:ascii="Times New Roman" w:hAnsi="Times New Roman" w:eastAsia="宋体" w:cs="Times New Roman"/>
          <w:color w:val="auto"/>
          <w:sz w:val="24"/>
          <w:szCs w:val="24"/>
          <w:lang w:eastAsia="zh-CN"/>
        </w:rPr>
        <w:t>均符合《污水综合排放标准》（GB</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8978-1996）表4中的三级排放标准要求，氨氮、总磷符合浙江省地方标准《工业企业废水氮、磷污染物间接排放限值》（DB</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33/887-2013）表1中其他企业的排放限值要求。</w:t>
      </w:r>
    </w:p>
    <w:p w14:paraId="38A84673">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验收监测期间，废水处理设施出口（DW002-2）的废水中pH、悬浮物、五日生化需氧量、化学需氧量、石油类、阴离子表面活性剂均符合《污水综合排放标准》（GB 8978-1996）表4中的三级排放标准要求，氨氮、总磷符合浙江省地方标准《工业企业废水氮、磷污染物间接排放限值》（DB 33/887-2013）表1中其他企业的排放限值要求</w:t>
      </w:r>
      <w:r>
        <w:rPr>
          <w:rFonts w:hint="default" w:ascii="Times New Roman" w:hAnsi="Times New Roman" w:eastAsia="宋体" w:cs="Times New Roman"/>
          <w:color w:val="auto"/>
          <w:sz w:val="24"/>
          <w:szCs w:val="24"/>
          <w:lang w:eastAsia="zh-CN"/>
        </w:rPr>
        <w:t>。</w:t>
      </w:r>
    </w:p>
    <w:p w14:paraId="289C2F87">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22"/>
          <w:sz w:val="24"/>
          <w:szCs w:val="24"/>
        </w:rPr>
      </w:pPr>
      <w:r>
        <w:rPr>
          <w:rFonts w:hint="default" w:ascii="Times New Roman" w:hAnsi="Times New Roman" w:eastAsia="宋体" w:cs="Times New Roman"/>
          <w:color w:val="auto"/>
          <w:sz w:val="24"/>
          <w:szCs w:val="24"/>
        </w:rPr>
        <w:t>（二）废气监测结论</w:t>
      </w:r>
    </w:p>
    <w:p w14:paraId="553F993A">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1、有组织废气</w:t>
      </w:r>
    </w:p>
    <w:p w14:paraId="52A219E7">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验收监测期间，抛光废气处理设施排气筒出口（DA001-2）中低浓度颗粒物检测结果符合《工业涂装工序大气污染物排放标准》（DB33/ 2146-2018）表1限值要求。</w:t>
      </w:r>
    </w:p>
    <w:p w14:paraId="0ED5D041">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验收监测期间，喷漆、烘干、丝印、危废仓库、废气排气筒出口（DA002-2）中二甲苯、乙酸丁酯、臭气浓度检测结果符合《工业涂装工序大气污染物排放标准》（DB33/ 2146-2018）表1限值要求；非甲烷总烃检测结果符合《印刷工业大气污染物排放标准》（GB 41616-2022）中表1限值要求。</w:t>
      </w:r>
    </w:p>
    <w:p w14:paraId="2478D359">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天然气燃烧废气排气筒出口（DA002-2）中低浓度颗粒物检测结果符合《浙江省工业炉窑大气污染综合治理方案》（浙环函[2019]315号）限值要求；二氧化硫、氮氧化物检测结果符合《印刷工业大气污染物排放标准》（GB41616-2022）表2燃烧装置大气污染物排放限值。</w:t>
      </w:r>
    </w:p>
    <w:p w14:paraId="4C06A73E">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、无组织废气</w:t>
      </w:r>
    </w:p>
    <w:p w14:paraId="49DA84B6">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bCs/>
          <w:color w:val="auto"/>
          <w:kern w:val="22"/>
          <w:sz w:val="24"/>
          <w:szCs w:val="24"/>
          <w:lang w:val="en-US" w:eastAsia="zh-CN"/>
        </w:rPr>
      </w:pPr>
      <w:r>
        <w:rPr>
          <w:rFonts w:hint="default" w:ascii="Times New Roman" w:hAnsi="Times New Roman" w:eastAsia="宋体" w:cs="Times New Roman"/>
          <w:bCs/>
          <w:color w:val="auto"/>
          <w:kern w:val="22"/>
          <w:sz w:val="24"/>
          <w:szCs w:val="24"/>
        </w:rPr>
        <w:t>验收监测期间，厂界颗粒物</w:t>
      </w:r>
      <w:r>
        <w:rPr>
          <w:rFonts w:hint="default" w:ascii="Times New Roman" w:hAnsi="Times New Roman" w:eastAsia="宋体" w:cs="Times New Roman"/>
          <w:bCs/>
          <w:color w:val="auto"/>
          <w:kern w:val="22"/>
          <w:sz w:val="24"/>
          <w:szCs w:val="24"/>
          <w:lang w:val="en-US" w:eastAsia="zh-CN"/>
        </w:rPr>
        <w:t>检测结果均符合《大气污染物综合排放标准》（GB 16297-1996）表2无组织排放监控浓度限值；</w:t>
      </w:r>
      <w:r>
        <w:rPr>
          <w:rFonts w:hint="default" w:ascii="Times New Roman" w:hAnsi="Times New Roman" w:eastAsia="宋体" w:cs="Times New Roman"/>
          <w:bCs/>
          <w:color w:val="auto"/>
          <w:kern w:val="22"/>
          <w:sz w:val="24"/>
          <w:szCs w:val="24"/>
        </w:rPr>
        <w:t>厂界</w:t>
      </w:r>
      <w:r>
        <w:rPr>
          <w:rFonts w:hint="default" w:ascii="Times New Roman" w:hAnsi="Times New Roman" w:eastAsia="宋体" w:cs="Times New Roman"/>
          <w:bCs/>
          <w:color w:val="auto"/>
          <w:kern w:val="22"/>
          <w:sz w:val="24"/>
          <w:szCs w:val="24"/>
          <w:lang w:val="en-US" w:eastAsia="zh-CN"/>
        </w:rPr>
        <w:t>非甲烷总烃</w:t>
      </w:r>
      <w:r>
        <w:rPr>
          <w:rFonts w:hint="eastAsia" w:ascii="Times New Roman" w:hAnsi="Times New Roman" w:eastAsia="宋体" w:cs="Times New Roman"/>
          <w:bCs/>
          <w:color w:val="auto"/>
          <w:kern w:val="22"/>
          <w:sz w:val="24"/>
          <w:szCs w:val="24"/>
          <w:lang w:val="en-US" w:eastAsia="zh-CN"/>
        </w:rPr>
        <w:t>、</w:t>
      </w:r>
      <w:r>
        <w:rPr>
          <w:rFonts w:hint="default" w:ascii="Times New Roman" w:hAnsi="Times New Roman" w:eastAsia="宋体" w:cs="Times New Roman"/>
          <w:bCs/>
          <w:color w:val="auto"/>
          <w:kern w:val="22"/>
          <w:sz w:val="24"/>
          <w:szCs w:val="24"/>
          <w:lang w:val="en-US" w:eastAsia="zh-CN"/>
        </w:rPr>
        <w:t>臭气浓度、二甲苯、乙酸丁酯检测结果均符合《工业涂装工序大气污染物排放标准》（DB33/ 2146-2018）表6中限值要求。</w:t>
      </w:r>
    </w:p>
    <w:p w14:paraId="7FEA42AE">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bCs/>
          <w:color w:val="auto"/>
          <w:kern w:val="22"/>
          <w:sz w:val="24"/>
          <w:szCs w:val="24"/>
        </w:rPr>
      </w:pPr>
      <w:r>
        <w:rPr>
          <w:rFonts w:hint="default" w:ascii="Times New Roman" w:hAnsi="Times New Roman" w:eastAsia="宋体" w:cs="Times New Roman"/>
          <w:bCs/>
          <w:color w:val="auto"/>
          <w:kern w:val="22"/>
          <w:sz w:val="24"/>
          <w:szCs w:val="24"/>
          <w:lang w:eastAsia="zh-CN"/>
        </w:rPr>
        <w:t>厂界内生产车间</w:t>
      </w:r>
      <w:r>
        <w:rPr>
          <w:rFonts w:hint="default" w:ascii="Times New Roman" w:hAnsi="Times New Roman" w:eastAsia="宋体" w:cs="Times New Roman"/>
          <w:bCs/>
          <w:color w:val="auto"/>
          <w:kern w:val="22"/>
          <w:sz w:val="24"/>
          <w:szCs w:val="24"/>
          <w:lang w:val="en-US" w:eastAsia="zh-CN"/>
        </w:rPr>
        <w:t>外</w:t>
      </w:r>
      <w:r>
        <w:rPr>
          <w:rFonts w:hint="default" w:ascii="Times New Roman" w:hAnsi="Times New Roman" w:eastAsia="宋体" w:cs="Times New Roman"/>
          <w:bCs/>
          <w:color w:val="auto"/>
          <w:kern w:val="22"/>
          <w:sz w:val="24"/>
          <w:szCs w:val="24"/>
          <w:lang w:eastAsia="zh-CN"/>
        </w:rPr>
        <w:t>非甲烷总烃</w:t>
      </w:r>
      <w:r>
        <w:rPr>
          <w:rFonts w:hint="eastAsia" w:ascii="Times New Roman" w:hAnsi="Times New Roman" w:eastAsia="宋体" w:cs="Times New Roman"/>
          <w:bCs/>
          <w:color w:val="auto"/>
          <w:kern w:val="22"/>
          <w:sz w:val="24"/>
          <w:szCs w:val="24"/>
          <w:lang w:val="en-US" w:eastAsia="zh-CN"/>
        </w:rPr>
        <w:t>检测结果</w:t>
      </w:r>
      <w:r>
        <w:rPr>
          <w:rFonts w:hint="default" w:ascii="Times New Roman" w:hAnsi="Times New Roman" w:eastAsia="宋体" w:cs="Times New Roman"/>
          <w:bCs/>
          <w:color w:val="auto"/>
          <w:kern w:val="22"/>
          <w:sz w:val="24"/>
          <w:szCs w:val="24"/>
        </w:rPr>
        <w:t>符合《挥发性有机物无组织排放控制标准》（GB 37822-2019）表A.1特别排放限值。</w:t>
      </w:r>
    </w:p>
    <w:p w14:paraId="77F43FCC">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（三）噪声监测结论</w:t>
      </w:r>
    </w:p>
    <w:p w14:paraId="1DD65C1D">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000000"/>
          <w:sz w:val="24"/>
          <w:szCs w:val="24"/>
          <w:lang w:eastAsia="zh-CN"/>
        </w:rPr>
        <w:t>厂界</w:t>
      </w:r>
      <w:r>
        <w:rPr>
          <w:rFonts w:hint="default" w:ascii="Times New Roman" w:hAnsi="Times New Roman" w:eastAsia="宋体" w:cs="Times New Roman"/>
          <w:color w:val="000000"/>
          <w:sz w:val="24"/>
          <w:szCs w:val="24"/>
          <w:lang w:val="en-US" w:eastAsia="zh-CN"/>
        </w:rPr>
        <w:t>东外、南外、北外</w:t>
      </w:r>
      <w:r>
        <w:rPr>
          <w:rFonts w:hint="default" w:ascii="Times New Roman" w:hAnsi="Times New Roman" w:eastAsia="宋体" w:cs="Times New Roman"/>
          <w:color w:val="000000"/>
          <w:sz w:val="24"/>
          <w:szCs w:val="24"/>
          <w:lang w:eastAsia="zh-CN"/>
        </w:rPr>
        <w:t>昼间噪声</w:t>
      </w:r>
      <w:r>
        <w:rPr>
          <w:rFonts w:hint="eastAsia" w:ascii="Times New Roman" w:hAnsi="Times New Roman" w:eastAsia="宋体" w:cs="Times New Roman"/>
          <w:color w:val="000000"/>
          <w:sz w:val="24"/>
          <w:szCs w:val="24"/>
          <w:lang w:val="en-US" w:eastAsia="zh-CN"/>
        </w:rPr>
        <w:t>检测结果</w:t>
      </w:r>
      <w:r>
        <w:rPr>
          <w:rFonts w:hint="default" w:ascii="Times New Roman" w:hAnsi="Times New Roman" w:eastAsia="宋体" w:cs="Times New Roman"/>
          <w:color w:val="000000"/>
          <w:sz w:val="24"/>
          <w:szCs w:val="24"/>
          <w:lang w:eastAsia="zh-CN"/>
        </w:rPr>
        <w:t>符合《工业企业厂界噪声排放标准》（GB</w:t>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12348-2008）</w:t>
      </w:r>
      <w:r>
        <w:rPr>
          <w:rFonts w:hint="default" w:ascii="Times New Roman" w:hAnsi="Times New Roman" w:eastAsia="宋体" w:cs="Times New Roman"/>
          <w:color w:val="000000"/>
          <w:sz w:val="24"/>
          <w:szCs w:val="24"/>
          <w:lang w:val="en-US" w:eastAsia="zh-CN"/>
        </w:rPr>
        <w:t>表1</w:t>
      </w:r>
      <w:r>
        <w:rPr>
          <w:rFonts w:hint="default" w:ascii="Times New Roman" w:hAnsi="Times New Roman" w:eastAsia="宋体" w:cs="Times New Roman"/>
          <w:color w:val="000000"/>
          <w:sz w:val="24"/>
          <w:szCs w:val="24"/>
          <w:lang w:eastAsia="zh-CN"/>
        </w:rPr>
        <w:t>中</w:t>
      </w:r>
      <w:r>
        <w:rPr>
          <w:rFonts w:hint="default" w:ascii="Times New Roman" w:hAnsi="Times New Roman" w:eastAsia="宋体" w:cs="Times New Roman"/>
          <w:color w:val="000000"/>
          <w:sz w:val="24"/>
          <w:szCs w:val="24"/>
          <w:lang w:val="en-US" w:eastAsia="zh-CN"/>
        </w:rPr>
        <w:t>的3类要求</w:t>
      </w:r>
      <w:r>
        <w:rPr>
          <w:rFonts w:hint="default" w:ascii="Times New Roman" w:hAnsi="Times New Roman" w:eastAsia="宋体" w:cs="Times New Roman"/>
          <w:color w:val="000000"/>
          <w:sz w:val="24"/>
          <w:szCs w:val="24"/>
          <w:lang w:eastAsia="zh-CN"/>
        </w:rPr>
        <w:t>。</w:t>
      </w:r>
    </w:p>
    <w:p w14:paraId="1CA7DF0B">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（四）固废核查结论   </w:t>
      </w:r>
    </w:p>
    <w:p w14:paraId="6D192C79">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危险固废：设置危险固废暂存间，位于厂房5F东南角，占地10m</w:t>
      </w:r>
      <w:r>
        <w:rPr>
          <w:rFonts w:hint="default" w:ascii="Times New Roman" w:hAnsi="Times New Roman" w:eastAsia="宋体" w:cs="Times New Roman"/>
          <w:color w:val="auto"/>
          <w:kern w:val="0"/>
          <w:sz w:val="24"/>
          <w:szCs w:val="24"/>
          <w:vertAlign w:val="superscript"/>
          <w:lang w:val="en-US" w:eastAsia="zh-CN"/>
        </w:rPr>
        <w:t>2</w:t>
      </w:r>
      <w:r>
        <w:rPr>
          <w:rFonts w:hint="default" w:ascii="Times New Roman" w:hAnsi="Times New Roman" w:eastAsia="宋体" w:cs="Times New Roman"/>
          <w:color w:val="auto"/>
          <w:kern w:val="0"/>
          <w:sz w:val="24"/>
          <w:szCs w:val="24"/>
          <w:lang w:val="en-US" w:eastAsia="zh-CN"/>
        </w:rPr>
        <w:t>，分类收集后委托</w:t>
      </w:r>
      <w:r>
        <w:rPr>
          <w:rFonts w:hint="eastAsia" w:ascii="Times New Roman" w:hAnsi="Times New Roman" w:eastAsia="宋体" w:cs="Times New Roman"/>
          <w:color w:val="auto"/>
          <w:kern w:val="0"/>
          <w:sz w:val="24"/>
          <w:szCs w:val="24"/>
          <w:lang w:val="en-US" w:eastAsia="zh-CN"/>
        </w:rPr>
        <w:t>有资质单位</w:t>
      </w:r>
      <w:r>
        <w:rPr>
          <w:rFonts w:hint="default" w:ascii="Times New Roman" w:hAnsi="Times New Roman" w:eastAsia="宋体" w:cs="Times New Roman"/>
          <w:color w:val="auto"/>
          <w:kern w:val="0"/>
          <w:sz w:val="24"/>
          <w:szCs w:val="24"/>
          <w:lang w:val="en-US" w:eastAsia="zh-CN"/>
        </w:rPr>
        <w:t>进行处置；</w:t>
      </w:r>
    </w:p>
    <w:p w14:paraId="0A2DC9FB">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kern w:val="0"/>
          <w:sz w:val="24"/>
          <w:szCs w:val="24"/>
          <w:lang w:val="en-US" w:eastAsia="zh-CN"/>
        </w:rPr>
        <w:t>一般固废：设置一般固废仓库，一般固废定期外售给物资单位，位于厂房1F。生活垃圾：委托环卫部门处置</w:t>
      </w:r>
      <w:r>
        <w:rPr>
          <w:rFonts w:hint="default" w:ascii="Times New Roman" w:hAnsi="Times New Roman" w:eastAsia="宋体" w:cs="Times New Roman"/>
          <w:color w:val="auto"/>
          <w:sz w:val="24"/>
          <w:szCs w:val="24"/>
          <w:lang w:val="en-US" w:eastAsia="zh-CN"/>
        </w:rPr>
        <w:t>。</w:t>
      </w:r>
    </w:p>
    <w:p w14:paraId="57E8EC0D">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（五）污染物排放总量</w:t>
      </w:r>
    </w:p>
    <w:p w14:paraId="500ED050">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cs="Times New Roman"/>
          <w:color w:val="000000"/>
          <w:sz w:val="24"/>
          <w:lang w:val="en-US" w:eastAsia="zh-CN"/>
        </w:rPr>
        <w:t>总量核算结论：</w:t>
      </w:r>
      <w:r>
        <w:rPr>
          <w:rFonts w:hint="eastAsia" w:ascii="Times New Roman" w:hAnsi="Times New Roman" w:cs="Times New Roman"/>
          <w:color w:val="000000"/>
          <w:sz w:val="24"/>
          <w:highlight w:val="none"/>
          <w:lang w:val="en-US" w:eastAsia="zh-CN"/>
        </w:rPr>
        <w:t>本项目污染物COD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w:t>
      </w:r>
      <w:r>
        <w:rPr>
          <w:rFonts w:hint="eastAsia" w:ascii="Times New Roman" w:hAnsi="Times New Roman" w:cs="Times New Roman"/>
          <w:color w:val="000000" w:themeColor="text1"/>
          <w:sz w:val="24"/>
          <w:highlight w:val="none"/>
          <w:lang w:val="en-US" w:eastAsia="zh-CN"/>
          <w14:textFill>
            <w14:solidFill>
              <w14:schemeClr w14:val="tx1"/>
            </w14:solidFill>
          </w14:textFill>
        </w:rPr>
        <w:t>、SO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、NO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X</w:t>
      </w:r>
      <w:r>
        <w:rPr>
          <w:rFonts w:hint="eastAsia" w:ascii="Times New Roman" w:hAnsi="Times New Roman" w:cs="Times New Roman"/>
          <w:color w:val="000000" w:themeColor="text1"/>
          <w:sz w:val="24"/>
          <w:highlight w:val="none"/>
          <w:lang w:val="en-US" w:eastAsia="zh-CN"/>
          <w14:textFill>
            <w14:solidFill>
              <w14:schemeClr w14:val="tx1"/>
            </w14:solidFill>
          </w14:textFill>
        </w:rPr>
        <w:t>、VOC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sz w:val="24"/>
          <w:highlight w:val="none"/>
          <w:lang w:val="en-US" w:eastAsia="zh-CN"/>
        </w:rPr>
        <w:t>排放量符合环评批复中主要污染物排放总量控制指标“COD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0.046</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-N0.003</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吨/年、SO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0.020吨/年、NO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X</w:t>
      </w:r>
      <w:r>
        <w:rPr>
          <w:rFonts w:hint="eastAsia" w:ascii="Times New Roman" w:hAnsi="Times New Roman" w:cs="Times New Roman"/>
          <w:color w:val="000000" w:themeColor="text1"/>
          <w:sz w:val="24"/>
          <w:highlight w:val="none"/>
          <w:lang w:val="en-US" w:eastAsia="zh-CN"/>
          <w14:textFill>
            <w14:solidFill>
              <w14:schemeClr w14:val="tx1"/>
            </w14:solidFill>
          </w14:textFill>
        </w:rPr>
        <w:t>0.188吨/年、VOC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0.465吨/年</w:t>
      </w:r>
      <w:r>
        <w:rPr>
          <w:rFonts w:hint="eastAsia" w:ascii="Times New Roman" w:hAnsi="Times New Roman" w:cs="Times New Roman"/>
          <w:color w:val="000000"/>
          <w:sz w:val="24"/>
          <w:highlight w:val="none"/>
          <w:lang w:val="en-US" w:eastAsia="zh-CN"/>
        </w:rPr>
        <w:t>”的总量控制要求</w:t>
      </w:r>
      <w:r>
        <w:rPr>
          <w:rFonts w:hint="default" w:ascii="Times New Roman" w:hAnsi="Times New Roman" w:eastAsia="宋体" w:cs="Times New Roman"/>
          <w:color w:val="auto"/>
          <w:sz w:val="24"/>
          <w:szCs w:val="24"/>
          <w:lang w:val="en-US" w:eastAsia="zh-CN"/>
        </w:rPr>
        <w:t>。</w:t>
      </w:r>
    </w:p>
    <w:p w14:paraId="11885B09">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五、工程建设对环境的影响</w:t>
      </w:r>
    </w:p>
    <w:p w14:paraId="268ABCDF">
      <w:pPr>
        <w:pStyle w:val="7"/>
        <w:keepNext w:val="0"/>
        <w:keepLines w:val="0"/>
        <w:pageBreakBefore w:val="0"/>
        <w:widowControl w:val="0"/>
        <w:kinsoku/>
        <w:wordWrap/>
        <w:overflowPunct/>
        <w:topLinePunct w:val="0"/>
        <w:bidi w:val="0"/>
        <w:snapToGrid/>
        <w:spacing w:after="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auto"/>
          <w:sz w:val="24"/>
          <w:szCs w:val="24"/>
          <w:lang w:val="en-US" w:eastAsia="zh-CN"/>
        </w:rPr>
        <w:t>。</w:t>
      </w:r>
    </w:p>
    <w:p w14:paraId="270470D9">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六、验收结论</w:t>
      </w:r>
    </w:p>
    <w:p w14:paraId="63EC7290">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eastAsia="zh-CN"/>
        </w:rPr>
        <w:t>永康康菱工贸有限公司年产300万只不锈钢保温杯生产线技改项目</w:t>
      </w:r>
      <w:r>
        <w:rPr>
          <w:rFonts w:hint="default" w:ascii="Times New Roman" w:hAnsi="Times New Roman" w:eastAsia="宋体" w:cs="Times New Roman"/>
          <w:color w:val="auto"/>
          <w:sz w:val="24"/>
          <w:szCs w:val="24"/>
        </w:rPr>
        <w:t>审批手续完备，</w:t>
      </w:r>
      <w:r>
        <w:rPr>
          <w:rFonts w:hint="default" w:ascii="Times New Roman" w:hAnsi="Times New Roman" w:eastAsia="宋体" w:cs="Times New Roman"/>
          <w:color w:val="auto"/>
          <w:sz w:val="24"/>
          <w:szCs w:val="24"/>
          <w:lang w:val="en-US" w:eastAsia="zh-CN"/>
        </w:rPr>
        <w:t>已实施的项目</w:t>
      </w:r>
      <w:r>
        <w:rPr>
          <w:rFonts w:hint="default" w:ascii="Times New Roman" w:hAnsi="Times New Roman" w:eastAsia="宋体" w:cs="Times New Roman"/>
          <w:color w:val="auto"/>
          <w:sz w:val="24"/>
          <w:szCs w:val="24"/>
        </w:rPr>
        <w:t>执行了环保</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三同时</w:t>
      </w:r>
      <w:r>
        <w:rPr>
          <w:rFonts w:hint="eastAsia" w:ascii="宋体" w:hAnsi="宋体" w:eastAsia="宋体" w:cs="宋体"/>
          <w:color w:val="auto"/>
          <w:sz w:val="24"/>
          <w:szCs w:val="24"/>
          <w:lang w:eastAsia="zh-CN"/>
        </w:rPr>
        <w:t>”</w:t>
      </w:r>
      <w:r>
        <w:rPr>
          <w:rFonts w:hint="default" w:ascii="Times New Roman" w:hAnsi="Times New Roman" w:eastAsia="宋体" w:cs="Times New Roman"/>
          <w:color w:val="auto"/>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w:t>
      </w:r>
      <w:r>
        <w:rPr>
          <w:rFonts w:hint="eastAsia" w:ascii="Times New Roman" w:hAnsi="Times New Roman" w:cs="Times New Roman"/>
          <w:color w:val="auto"/>
          <w:sz w:val="24"/>
          <w:szCs w:val="24"/>
          <w:lang w:val="en-US" w:eastAsia="zh-CN"/>
        </w:rPr>
        <w:t>验收组原则同意通过本次竣工</w:t>
      </w:r>
      <w:r>
        <w:rPr>
          <w:rFonts w:hint="default" w:ascii="Times New Roman" w:hAnsi="Times New Roman" w:eastAsia="宋体" w:cs="Times New Roman"/>
          <w:color w:val="auto"/>
          <w:sz w:val="24"/>
          <w:szCs w:val="24"/>
        </w:rPr>
        <w:t>环境保护设施</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先行</w:t>
      </w:r>
      <w:r>
        <w:rPr>
          <w:rFonts w:hint="eastAsia"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验收。</w:t>
      </w:r>
    </w:p>
    <w:p w14:paraId="19FC7764">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七、后续要求</w:t>
      </w:r>
    </w:p>
    <w:p w14:paraId="2BD532BD">
      <w:pPr>
        <w:pStyle w:val="8"/>
        <w:keepNext w:val="0"/>
        <w:keepLines w:val="0"/>
        <w:pageBreakBefore w:val="0"/>
        <w:widowControl w:val="0"/>
        <w:kinsoku/>
        <w:wordWrap/>
        <w:overflowPunct/>
        <w:topLinePunct w:val="0"/>
        <w:bidi w:val="0"/>
        <w:snapToGrid/>
        <w:spacing w:after="0" w:line="360" w:lineRule="auto"/>
        <w:textAlignment w:val="auto"/>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1、</w:t>
      </w:r>
      <w:r>
        <w:rPr>
          <w:rFonts w:hint="eastAsia" w:ascii="Times New Roman" w:hAnsi="Times New Roman" w:eastAsia="宋体" w:cs="Times New Roman"/>
          <w:color w:val="auto"/>
          <w:kern w:val="2"/>
          <w:sz w:val="24"/>
          <w:szCs w:val="24"/>
          <w:lang w:val="en-US" w:eastAsia="zh-CN" w:bidi="ar-SA"/>
        </w:rPr>
        <w:t>严格按项目环评文件等要求组织生产，定期开展自行监测，加强环保信息公开，接受社会监督。</w:t>
      </w:r>
    </w:p>
    <w:p w14:paraId="0AAC0046">
      <w:pPr>
        <w:pStyle w:val="7"/>
        <w:keepNext w:val="0"/>
        <w:keepLines w:val="0"/>
        <w:pageBreakBefore w:val="0"/>
        <w:widowControl w:val="0"/>
        <w:kinsoku/>
        <w:wordWrap/>
        <w:overflowPunct/>
        <w:topLinePunct w:val="0"/>
        <w:bidi w:val="0"/>
        <w:snapToGrid/>
        <w:spacing w:after="0"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2、</w:t>
      </w:r>
      <w:r>
        <w:rPr>
          <w:rFonts w:hint="default" w:ascii="Times New Roman" w:hAnsi="Times New Roman" w:eastAsia="宋体" w:cs="Times New Roman"/>
          <w:color w:val="auto"/>
          <w:kern w:val="2"/>
          <w:sz w:val="24"/>
          <w:szCs w:val="24"/>
          <w:lang w:val="en-US" w:eastAsia="zh-CN" w:bidi="ar-SA"/>
        </w:rPr>
        <w:t>验收监测单位按照《建设项目竣工环境保护验收技术指南 污染影响类》在要求进一步完善验收监测报告，</w:t>
      </w:r>
      <w:r>
        <w:rPr>
          <w:rFonts w:hint="eastAsia" w:ascii="Times New Roman" w:hAnsi="Times New Roman" w:eastAsia="宋体" w:cs="Times New Roman"/>
          <w:color w:val="auto"/>
          <w:kern w:val="2"/>
          <w:sz w:val="24"/>
          <w:szCs w:val="24"/>
          <w:lang w:val="en-US" w:eastAsia="zh-CN" w:bidi="ar-SA"/>
        </w:rPr>
        <w:t>补充脱附阶段检测数据，</w:t>
      </w:r>
      <w:r>
        <w:rPr>
          <w:rFonts w:hint="default" w:ascii="Times New Roman" w:hAnsi="Times New Roman" w:eastAsia="宋体" w:cs="Times New Roman"/>
          <w:color w:val="auto"/>
          <w:kern w:val="2"/>
          <w:sz w:val="24"/>
          <w:szCs w:val="24"/>
          <w:lang w:val="en-US" w:eastAsia="zh-CN" w:bidi="ar-SA"/>
        </w:rPr>
        <w:t>落实后续工作。</w:t>
      </w:r>
    </w:p>
    <w:p w14:paraId="4359DBFE">
      <w:pPr>
        <w:pStyle w:val="7"/>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3、加强涂装全过程等废气收集，规范各废气采样口及采样平台，加强环保设施运行管理及检修工作，杜绝喷淋用水跑冒滴漏，并落实运行台账记录。</w:t>
      </w:r>
    </w:p>
    <w:p w14:paraId="41C93FD4">
      <w:pPr>
        <w:pStyle w:val="7"/>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4、及时更换水帘和喷淋用水，加强污水处理站运行管理，确保废水能稳定达标排放。</w:t>
      </w:r>
    </w:p>
    <w:p w14:paraId="16FF0E80">
      <w:pPr>
        <w:pStyle w:val="8"/>
        <w:keepNext w:val="0"/>
        <w:keepLines w:val="0"/>
        <w:pageBreakBefore w:val="0"/>
        <w:widowControl w:val="0"/>
        <w:kinsoku/>
        <w:wordWrap/>
        <w:overflowPunct/>
        <w:topLinePunct w:val="0"/>
        <w:bidi w:val="0"/>
        <w:snapToGrid/>
        <w:spacing w:after="0" w:line="360" w:lineRule="auto"/>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5、加强危险废物收集贮存，规范危废贮存库标识标牌，落实各危废台账记录，规范转移及处置。</w:t>
      </w:r>
    </w:p>
    <w:p w14:paraId="4D4AA7BD">
      <w:pPr>
        <w:pStyle w:val="8"/>
        <w:keepNext w:val="0"/>
        <w:keepLines w:val="0"/>
        <w:pageBreakBefore w:val="0"/>
        <w:widowControl w:val="0"/>
        <w:kinsoku/>
        <w:wordWrap/>
        <w:overflowPunct/>
        <w:topLinePunct w:val="0"/>
        <w:bidi w:val="0"/>
        <w:snapToGrid/>
        <w:spacing w:after="0" w:line="360" w:lineRule="auto"/>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6</w:t>
      </w:r>
      <w:bookmarkStart w:id="1" w:name="_GoBack"/>
      <w:bookmarkEnd w:id="1"/>
      <w:r>
        <w:rPr>
          <w:rFonts w:hint="eastAsia" w:ascii="Times New Roman" w:hAnsi="Times New Roman" w:eastAsia="宋体" w:cs="Times New Roman"/>
          <w:color w:val="auto"/>
          <w:kern w:val="2"/>
          <w:sz w:val="24"/>
          <w:szCs w:val="24"/>
          <w:lang w:val="en-US" w:eastAsia="zh-CN" w:bidi="ar-SA"/>
        </w:rPr>
        <w:t>、建立健全环保管理和责任制度，定期开展应急演练与培训，落实好各项风险事故防范和应急措施，确保周边环境安全。</w:t>
      </w:r>
    </w:p>
    <w:p w14:paraId="229DFB12">
      <w:pPr>
        <w:keepNext w:val="0"/>
        <w:keepLines w:val="0"/>
        <w:pageBreakBefore w:val="0"/>
        <w:widowControl w:val="0"/>
        <w:kinsoku/>
        <w:wordWrap/>
        <w:overflowPunct/>
        <w:topLinePunct w:val="0"/>
        <w:bidi w:val="0"/>
        <w:adjustRightInd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八、验收组人员</w:t>
      </w:r>
    </w:p>
    <w:p w14:paraId="3EF5B51D">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p>
    <w:p w14:paraId="3FD73C13">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p>
    <w:p w14:paraId="677EB730">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p>
    <w:p w14:paraId="047CE20A">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lang w:eastAsia="zh-CN"/>
        </w:rPr>
      </w:pPr>
      <w:r>
        <w:rPr>
          <w:rFonts w:hint="default" w:ascii="Times New Roman" w:hAnsi="Times New Roman" w:eastAsia="宋体" w:cs="Times New Roman"/>
          <w:color w:val="auto"/>
          <w:kern w:val="0"/>
          <w:sz w:val="24"/>
          <w:szCs w:val="24"/>
        </w:rPr>
        <w:t xml:space="preserve"> </w:t>
      </w:r>
      <w:r>
        <w:rPr>
          <w:rFonts w:hint="eastAsia" w:ascii="Times New Roman" w:hAnsi="Times New Roman" w:eastAsia="宋体" w:cs="Times New Roman"/>
          <w:color w:val="auto"/>
          <w:kern w:val="0"/>
          <w:sz w:val="24"/>
          <w:szCs w:val="24"/>
          <w:lang w:eastAsia="zh-CN"/>
        </w:rPr>
        <w:t>永康康菱工贸有限公司</w:t>
      </w:r>
    </w:p>
    <w:p w14:paraId="319548FC">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年</w:t>
      </w:r>
      <w:r>
        <w:rPr>
          <w:rFonts w:hint="eastAsia" w:ascii="Times New Roman" w:hAnsi="Times New Roman" w:eastAsia="宋体"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月</w:t>
      </w:r>
      <w:r>
        <w:rPr>
          <w:rFonts w:hint="eastAsia" w:ascii="Times New Roman" w:hAnsi="Times New Roman" w:eastAsia="宋体"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3753764"/>
    </w:sdtPr>
    <w:sdtContent>
      <w:p w14:paraId="5F7F2118">
        <w:pPr>
          <w:pStyle w:val="12"/>
          <w:jc w:val="center"/>
        </w:pPr>
        <w:r>
          <w:fldChar w:fldCharType="begin"/>
        </w:r>
        <w:r>
          <w:instrText xml:space="preserve">PAGE   \* MERGEFORMAT</w:instrText>
        </w:r>
        <w:r>
          <w:fldChar w:fldCharType="separate"/>
        </w:r>
        <w:r>
          <w:rPr>
            <w:lang w:val="zh-CN"/>
          </w:rPr>
          <w:t>2</w:t>
        </w:r>
        <w:r>
          <w:fldChar w:fldCharType="end"/>
        </w:r>
      </w:p>
    </w:sdtContent>
  </w:sdt>
  <w:p w14:paraId="13CC2F2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F18C14"/>
    <w:multiLevelType w:val="multilevel"/>
    <w:tmpl w:val="59F18C14"/>
    <w:lvl w:ilvl="0" w:tentative="0">
      <w:start w:val="1"/>
      <w:numFmt w:val="decimal"/>
      <w:suff w:val="space"/>
      <w:lvlText w:val="%1."/>
      <w:lvlJc w:val="left"/>
      <w:pPr>
        <w:tabs>
          <w:tab w:val="left" w:pos="432"/>
        </w:tabs>
        <w:ind w:left="0" w:firstLine="0"/>
      </w:pPr>
      <w:rPr>
        <w:rFonts w:hint="default" w:ascii="Times New Roman" w:hAnsi="Times New Roman" w:eastAsia="宋体" w:cs="宋体"/>
        <w:b/>
        <w:sz w:val="24"/>
      </w:rPr>
    </w:lvl>
    <w:lvl w:ilvl="1" w:tentative="0">
      <w:start w:val="1"/>
      <w:numFmt w:val="decimal"/>
      <w:pStyle w:val="2"/>
      <w:suff w:val="space"/>
      <w:lvlText w:val="%1.%2."/>
      <w:lvlJc w:val="left"/>
      <w:pPr>
        <w:tabs>
          <w:tab w:val="left" w:pos="432"/>
        </w:tabs>
        <w:ind w:left="0" w:firstLine="0"/>
      </w:pPr>
      <w:rPr>
        <w:rFonts w:hint="default" w:ascii="Times New Roman" w:hAnsi="Times New Roman" w:eastAsia="宋体" w:cs="宋体"/>
        <w:b/>
        <w:sz w:val="24"/>
      </w:rPr>
    </w:lvl>
    <w:lvl w:ilvl="2" w:tentative="0">
      <w:start w:val="1"/>
      <w:numFmt w:val="decimal"/>
      <w:pStyle w:val="3"/>
      <w:suff w:val="space"/>
      <w:lvlText w:val="%1.%2.%3."/>
      <w:lvlJc w:val="left"/>
      <w:pPr>
        <w:tabs>
          <w:tab w:val="left" w:pos="432"/>
        </w:tabs>
        <w:ind w:left="0" w:firstLine="0"/>
      </w:pPr>
      <w:rPr>
        <w:rFonts w:hint="default" w:ascii="Times New Roman" w:hAnsi="Times New Roman" w:eastAsia="宋体" w:cs="宋体"/>
        <w:b/>
        <w:sz w:val="24"/>
      </w:rPr>
    </w:lvl>
    <w:lvl w:ilvl="3" w:tentative="0">
      <w:start w:val="1"/>
      <w:numFmt w:val="decimal"/>
      <w:pStyle w:val="4"/>
      <w:suff w:val="space"/>
      <w:lvlText w:val="%1.%2.%3.%4."/>
      <w:lvlJc w:val="left"/>
      <w:pPr>
        <w:tabs>
          <w:tab w:val="left" w:pos="432"/>
        </w:tabs>
        <w:ind w:left="0" w:firstLine="0"/>
      </w:pPr>
      <w:rPr>
        <w:rFonts w:hint="default" w:ascii="Times New Roman" w:hAnsi="Times New Roman" w:eastAsia="宋体" w:cs="宋体"/>
        <w:b/>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0MWZmZDlmNTc0Y2JiYzFhZDU5MWRiZDNmZTlhNTkifQ=="/>
  </w:docVars>
  <w:rsids>
    <w:rsidRoot w:val="20CE3211"/>
    <w:rsid w:val="000467BE"/>
    <w:rsid w:val="00062B16"/>
    <w:rsid w:val="0008066D"/>
    <w:rsid w:val="000C08CE"/>
    <w:rsid w:val="000C76FC"/>
    <w:rsid w:val="000F3953"/>
    <w:rsid w:val="00114E8B"/>
    <w:rsid w:val="00125429"/>
    <w:rsid w:val="00146CF1"/>
    <w:rsid w:val="001607F1"/>
    <w:rsid w:val="00177603"/>
    <w:rsid w:val="0019023B"/>
    <w:rsid w:val="0019538E"/>
    <w:rsid w:val="001A60D1"/>
    <w:rsid w:val="001C7EA4"/>
    <w:rsid w:val="001F4F89"/>
    <w:rsid w:val="00201FB9"/>
    <w:rsid w:val="00230563"/>
    <w:rsid w:val="002340C0"/>
    <w:rsid w:val="00236B08"/>
    <w:rsid w:val="002434E9"/>
    <w:rsid w:val="0025758A"/>
    <w:rsid w:val="00265D4B"/>
    <w:rsid w:val="00280BB0"/>
    <w:rsid w:val="002A28B1"/>
    <w:rsid w:val="002E1B91"/>
    <w:rsid w:val="003023D0"/>
    <w:rsid w:val="00323859"/>
    <w:rsid w:val="003264A5"/>
    <w:rsid w:val="00331928"/>
    <w:rsid w:val="00331FDF"/>
    <w:rsid w:val="00382A32"/>
    <w:rsid w:val="003D3DEA"/>
    <w:rsid w:val="00454378"/>
    <w:rsid w:val="00460412"/>
    <w:rsid w:val="00461EBD"/>
    <w:rsid w:val="00470FCE"/>
    <w:rsid w:val="00473D49"/>
    <w:rsid w:val="00474C97"/>
    <w:rsid w:val="004908A4"/>
    <w:rsid w:val="004C3C09"/>
    <w:rsid w:val="0050031B"/>
    <w:rsid w:val="00506014"/>
    <w:rsid w:val="00511196"/>
    <w:rsid w:val="00532511"/>
    <w:rsid w:val="00540F3B"/>
    <w:rsid w:val="00554C02"/>
    <w:rsid w:val="005568B0"/>
    <w:rsid w:val="00557CEE"/>
    <w:rsid w:val="00571AFD"/>
    <w:rsid w:val="00575E0C"/>
    <w:rsid w:val="00590D86"/>
    <w:rsid w:val="00594A33"/>
    <w:rsid w:val="005E1D2D"/>
    <w:rsid w:val="00616188"/>
    <w:rsid w:val="006229BC"/>
    <w:rsid w:val="006372BB"/>
    <w:rsid w:val="006400D4"/>
    <w:rsid w:val="00686C95"/>
    <w:rsid w:val="006C7918"/>
    <w:rsid w:val="006D177A"/>
    <w:rsid w:val="006D6C46"/>
    <w:rsid w:val="006F4DC5"/>
    <w:rsid w:val="007160E4"/>
    <w:rsid w:val="00792450"/>
    <w:rsid w:val="00793980"/>
    <w:rsid w:val="007A4980"/>
    <w:rsid w:val="007C7BC8"/>
    <w:rsid w:val="007D10F7"/>
    <w:rsid w:val="007D1FF0"/>
    <w:rsid w:val="007D3D17"/>
    <w:rsid w:val="007D6C3C"/>
    <w:rsid w:val="007E272B"/>
    <w:rsid w:val="007E72BF"/>
    <w:rsid w:val="007F141C"/>
    <w:rsid w:val="007F1DD5"/>
    <w:rsid w:val="0082355C"/>
    <w:rsid w:val="008303B3"/>
    <w:rsid w:val="00840848"/>
    <w:rsid w:val="00842F49"/>
    <w:rsid w:val="00892027"/>
    <w:rsid w:val="008A0E28"/>
    <w:rsid w:val="008A26F9"/>
    <w:rsid w:val="008C0E44"/>
    <w:rsid w:val="008C752C"/>
    <w:rsid w:val="008E631E"/>
    <w:rsid w:val="008E6C47"/>
    <w:rsid w:val="008F407A"/>
    <w:rsid w:val="009177A4"/>
    <w:rsid w:val="00922DA1"/>
    <w:rsid w:val="0094606A"/>
    <w:rsid w:val="00954667"/>
    <w:rsid w:val="00954EBD"/>
    <w:rsid w:val="0095798C"/>
    <w:rsid w:val="00971170"/>
    <w:rsid w:val="0097357B"/>
    <w:rsid w:val="00983515"/>
    <w:rsid w:val="009F0833"/>
    <w:rsid w:val="009F2A8E"/>
    <w:rsid w:val="009F77E3"/>
    <w:rsid w:val="00A035B0"/>
    <w:rsid w:val="00A3584F"/>
    <w:rsid w:val="00A75C2A"/>
    <w:rsid w:val="00AE2409"/>
    <w:rsid w:val="00B07391"/>
    <w:rsid w:val="00B27E07"/>
    <w:rsid w:val="00B33F52"/>
    <w:rsid w:val="00B351E1"/>
    <w:rsid w:val="00B738F5"/>
    <w:rsid w:val="00B9721C"/>
    <w:rsid w:val="00BA3578"/>
    <w:rsid w:val="00BF1D1C"/>
    <w:rsid w:val="00C428AA"/>
    <w:rsid w:val="00C7739E"/>
    <w:rsid w:val="00C900FD"/>
    <w:rsid w:val="00CA107D"/>
    <w:rsid w:val="00CA230F"/>
    <w:rsid w:val="00CD359A"/>
    <w:rsid w:val="00CE6E4F"/>
    <w:rsid w:val="00CF28E8"/>
    <w:rsid w:val="00D21DCA"/>
    <w:rsid w:val="00D54BCA"/>
    <w:rsid w:val="00D75704"/>
    <w:rsid w:val="00D856E3"/>
    <w:rsid w:val="00D96A14"/>
    <w:rsid w:val="00DB3A12"/>
    <w:rsid w:val="00DB5243"/>
    <w:rsid w:val="00DC1E7A"/>
    <w:rsid w:val="00DC359A"/>
    <w:rsid w:val="00DD633F"/>
    <w:rsid w:val="00DE3528"/>
    <w:rsid w:val="00E16148"/>
    <w:rsid w:val="00E22E7E"/>
    <w:rsid w:val="00E3145C"/>
    <w:rsid w:val="00E40F20"/>
    <w:rsid w:val="00E4189C"/>
    <w:rsid w:val="00E45C55"/>
    <w:rsid w:val="00E819C1"/>
    <w:rsid w:val="00E96F1F"/>
    <w:rsid w:val="00E97D5A"/>
    <w:rsid w:val="00EC6201"/>
    <w:rsid w:val="00EC687B"/>
    <w:rsid w:val="00ED69A3"/>
    <w:rsid w:val="00EE51AC"/>
    <w:rsid w:val="00F27861"/>
    <w:rsid w:val="00F300EB"/>
    <w:rsid w:val="00F3165E"/>
    <w:rsid w:val="00F66105"/>
    <w:rsid w:val="00FB1904"/>
    <w:rsid w:val="00FC462A"/>
    <w:rsid w:val="00FE39C5"/>
    <w:rsid w:val="028A6678"/>
    <w:rsid w:val="02E56002"/>
    <w:rsid w:val="03A23D9D"/>
    <w:rsid w:val="03DA7834"/>
    <w:rsid w:val="04AD5164"/>
    <w:rsid w:val="056C4EC7"/>
    <w:rsid w:val="061B4B76"/>
    <w:rsid w:val="08593F75"/>
    <w:rsid w:val="086A5298"/>
    <w:rsid w:val="09D96E3D"/>
    <w:rsid w:val="09FA33E6"/>
    <w:rsid w:val="0A590862"/>
    <w:rsid w:val="0BD936D7"/>
    <w:rsid w:val="0E861EBF"/>
    <w:rsid w:val="0ECE23B1"/>
    <w:rsid w:val="0ED86B5D"/>
    <w:rsid w:val="105C40FD"/>
    <w:rsid w:val="12CE63FE"/>
    <w:rsid w:val="15BD7F5F"/>
    <w:rsid w:val="16D8064E"/>
    <w:rsid w:val="1C984628"/>
    <w:rsid w:val="1D076D57"/>
    <w:rsid w:val="1F703C2D"/>
    <w:rsid w:val="207479E5"/>
    <w:rsid w:val="20CE3211"/>
    <w:rsid w:val="21461234"/>
    <w:rsid w:val="219478E5"/>
    <w:rsid w:val="22747F7C"/>
    <w:rsid w:val="227D7253"/>
    <w:rsid w:val="23792073"/>
    <w:rsid w:val="24402578"/>
    <w:rsid w:val="24C81FC8"/>
    <w:rsid w:val="24CE32F5"/>
    <w:rsid w:val="24EC3CBB"/>
    <w:rsid w:val="25E53194"/>
    <w:rsid w:val="263E1437"/>
    <w:rsid w:val="26CA25D9"/>
    <w:rsid w:val="2ABE332C"/>
    <w:rsid w:val="2B62427F"/>
    <w:rsid w:val="2B7B3A0B"/>
    <w:rsid w:val="2C161F48"/>
    <w:rsid w:val="2C524C6B"/>
    <w:rsid w:val="2DE04D15"/>
    <w:rsid w:val="2EAE551D"/>
    <w:rsid w:val="31A625E3"/>
    <w:rsid w:val="328C2EB3"/>
    <w:rsid w:val="34AD30CE"/>
    <w:rsid w:val="35D932B9"/>
    <w:rsid w:val="361222E6"/>
    <w:rsid w:val="37DC6108"/>
    <w:rsid w:val="37EF3083"/>
    <w:rsid w:val="380375EF"/>
    <w:rsid w:val="38805791"/>
    <w:rsid w:val="39B93301"/>
    <w:rsid w:val="3D834DE4"/>
    <w:rsid w:val="3F6D1405"/>
    <w:rsid w:val="416041AB"/>
    <w:rsid w:val="41A8501E"/>
    <w:rsid w:val="42515792"/>
    <w:rsid w:val="42AA16E0"/>
    <w:rsid w:val="42D30E29"/>
    <w:rsid w:val="44DE55EE"/>
    <w:rsid w:val="4504691C"/>
    <w:rsid w:val="452746D4"/>
    <w:rsid w:val="471E600D"/>
    <w:rsid w:val="48766925"/>
    <w:rsid w:val="4A960A49"/>
    <w:rsid w:val="4A9B6811"/>
    <w:rsid w:val="4EFF64A6"/>
    <w:rsid w:val="4F1E3874"/>
    <w:rsid w:val="4FD95FFF"/>
    <w:rsid w:val="504D156B"/>
    <w:rsid w:val="50DC2707"/>
    <w:rsid w:val="5349536B"/>
    <w:rsid w:val="5475601D"/>
    <w:rsid w:val="57352277"/>
    <w:rsid w:val="577E7223"/>
    <w:rsid w:val="58157E98"/>
    <w:rsid w:val="589C4ADD"/>
    <w:rsid w:val="5B635A87"/>
    <w:rsid w:val="5F6D454E"/>
    <w:rsid w:val="60737A8C"/>
    <w:rsid w:val="60953251"/>
    <w:rsid w:val="61460763"/>
    <w:rsid w:val="64A746D5"/>
    <w:rsid w:val="68720204"/>
    <w:rsid w:val="6A317D08"/>
    <w:rsid w:val="6BAD0E91"/>
    <w:rsid w:val="6BFB3E8C"/>
    <w:rsid w:val="6C3637CB"/>
    <w:rsid w:val="6C816C42"/>
    <w:rsid w:val="6DCC7493"/>
    <w:rsid w:val="6E4346A3"/>
    <w:rsid w:val="6E945F8A"/>
    <w:rsid w:val="6EB82C2C"/>
    <w:rsid w:val="705C41DE"/>
    <w:rsid w:val="712800EB"/>
    <w:rsid w:val="71C86EF2"/>
    <w:rsid w:val="720C149E"/>
    <w:rsid w:val="728070C0"/>
    <w:rsid w:val="72E95B09"/>
    <w:rsid w:val="74340800"/>
    <w:rsid w:val="74554F8E"/>
    <w:rsid w:val="77D6533D"/>
    <w:rsid w:val="780E09A7"/>
    <w:rsid w:val="78CD780C"/>
    <w:rsid w:val="7B13355C"/>
    <w:rsid w:val="7BFE0DF7"/>
    <w:rsid w:val="7C2E105C"/>
    <w:rsid w:val="7D6248A9"/>
    <w:rsid w:val="7DD4323D"/>
    <w:rsid w:val="7E3D5A57"/>
    <w:rsid w:val="7E4C0C97"/>
    <w:rsid w:val="7FE8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numPr>
        <w:ilvl w:val="1"/>
        <w:numId w:val="1"/>
      </w:numPr>
      <w:spacing w:before="50" w:beforeLines="50" w:after="50" w:afterLines="50"/>
      <w:jc w:val="left"/>
      <w:outlineLvl w:val="1"/>
    </w:pPr>
    <w:rPr>
      <w:rFonts w:ascii="Times New Roman" w:hAnsi="Times New Roman" w:eastAsia="宋体" w:cs="Times New Roman"/>
      <w:b/>
      <w:bCs/>
      <w:sz w:val="24"/>
      <w:szCs w:val="32"/>
    </w:rPr>
  </w:style>
  <w:style w:type="paragraph" w:styleId="3">
    <w:name w:val="heading 3"/>
    <w:basedOn w:val="1"/>
    <w:next w:val="1"/>
    <w:semiHidden/>
    <w:unhideWhenUsed/>
    <w:qFormat/>
    <w:uiPriority w:val="0"/>
    <w:pPr>
      <w:keepNext/>
      <w:keepLines/>
      <w:numPr>
        <w:ilvl w:val="2"/>
        <w:numId w:val="1"/>
      </w:numPr>
      <w:spacing w:line="360" w:lineRule="auto"/>
      <w:outlineLvl w:val="2"/>
    </w:pPr>
    <w:rPr>
      <w:b/>
      <w:sz w:val="24"/>
    </w:rPr>
  </w:style>
  <w:style w:type="paragraph" w:styleId="4">
    <w:name w:val="heading 4"/>
    <w:basedOn w:val="1"/>
    <w:next w:val="1"/>
    <w:autoRedefine/>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link w:val="38"/>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annotation text"/>
    <w:basedOn w:val="1"/>
    <w:link w:val="30"/>
    <w:autoRedefine/>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7">
    <w:name w:val="Body Text"/>
    <w:basedOn w:val="1"/>
    <w:next w:val="8"/>
    <w:link w:val="34"/>
    <w:autoRedefine/>
    <w:qFormat/>
    <w:uiPriority w:val="0"/>
    <w:pPr>
      <w:spacing w:after="120"/>
    </w:pPr>
    <w:rPr>
      <w:rFonts w:ascii="Times New Roman" w:hAnsi="Times New Roman" w:eastAsia="宋体" w:cs="Times New Roman"/>
      <w:szCs w:val="24"/>
    </w:rPr>
  </w:style>
  <w:style w:type="paragraph" w:styleId="8">
    <w:name w:val="Body Text First Indent"/>
    <w:basedOn w:val="7"/>
    <w:autoRedefine/>
    <w:qFormat/>
    <w:uiPriority w:val="0"/>
    <w:pPr>
      <w:adjustRightInd w:val="0"/>
      <w:snapToGrid w:val="0"/>
      <w:spacing w:line="336" w:lineRule="auto"/>
      <w:ind w:firstLine="200" w:firstLineChars="200"/>
    </w:pPr>
  </w:style>
  <w:style w:type="paragraph" w:styleId="9">
    <w:name w:val="Plain Text"/>
    <w:basedOn w:val="1"/>
    <w:next w:val="10"/>
    <w:autoRedefine/>
    <w:qFormat/>
    <w:uiPriority w:val="99"/>
    <w:pPr>
      <w:widowControl/>
      <w:spacing w:beforeAutospacing="1" w:afterAutospacing="1"/>
      <w:jc w:val="left"/>
    </w:pPr>
    <w:rPr>
      <w:rFonts w:ascii="ˎ̥" w:hAnsi="ˎ̥"/>
      <w:sz w:val="18"/>
      <w:szCs w:val="18"/>
    </w:rPr>
  </w:style>
  <w:style w:type="paragraph" w:styleId="10">
    <w:name w:val="toc 1"/>
    <w:basedOn w:val="1"/>
    <w:next w:val="1"/>
    <w:autoRedefine/>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1">
    <w:name w:val="Balloon Text"/>
    <w:basedOn w:val="1"/>
    <w:link w:val="33"/>
    <w:autoRedefine/>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link w:val="29"/>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2"/>
    <w:basedOn w:val="4"/>
    <w:next w:val="8"/>
    <w:autoRedefine/>
    <w:qFormat/>
    <w:uiPriority w:val="0"/>
    <w:pPr>
      <w:tabs>
        <w:tab w:val="left" w:pos="420"/>
        <w:tab w:val="left" w:pos="870"/>
        <w:tab w:val="left" w:pos="3150"/>
      </w:tabs>
      <w:autoSpaceDE w:val="0"/>
      <w:autoSpaceDN w:val="0"/>
      <w:spacing w:beforeLines="25" w:line="336" w:lineRule="auto"/>
      <w:ind w:firstLine="527" w:firstLineChars="0"/>
    </w:pPr>
    <w:rPr>
      <w:rFonts w:ascii="宋体"/>
      <w:szCs w:val="28"/>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autoRedefine/>
    <w:unhideWhenUsed/>
    <w:qFormat/>
    <w:uiPriority w:val="0"/>
    <w:rPr>
      <w:color w:val="0563C1" w:themeColor="hyperlink"/>
      <w:u w:val="single"/>
      <w14:textFill>
        <w14:solidFill>
          <w14:schemeClr w14:val="hlink"/>
        </w14:solidFill>
      </w14:textFill>
    </w:rPr>
  </w:style>
  <w:style w:type="paragraph" w:customStyle="1" w:styleId="19">
    <w:name w:val="正文首行缩进2个字 Char"/>
    <w:basedOn w:val="1"/>
    <w:autoRedefine/>
    <w:qFormat/>
    <w:uiPriority w:val="0"/>
    <w:pPr>
      <w:ind w:firstLine="480" w:firstLineChars="200"/>
    </w:pPr>
    <w:rPr>
      <w:rFonts w:eastAsia="楷体"/>
      <w:sz w:val="24"/>
      <w:szCs w:val="24"/>
    </w:rPr>
  </w:style>
  <w:style w:type="paragraph" w:customStyle="1" w:styleId="20">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21">
    <w:name w:val="表格正文"/>
    <w:basedOn w:val="1"/>
    <w:autoRedefine/>
    <w:qFormat/>
    <w:uiPriority w:val="0"/>
    <w:pPr>
      <w:spacing w:line="360" w:lineRule="exact"/>
      <w:jc w:val="center"/>
    </w:pPr>
    <w:rPr>
      <w:rFonts w:eastAsia="宋体"/>
      <w:color w:val="000000"/>
      <w:szCs w:val="24"/>
    </w:rPr>
  </w:style>
  <w:style w:type="paragraph" w:customStyle="1" w:styleId="22">
    <w:name w:val="列出段落1"/>
    <w:basedOn w:val="1"/>
    <w:autoRedefine/>
    <w:unhideWhenUsed/>
    <w:qFormat/>
    <w:uiPriority w:val="99"/>
    <w:pPr>
      <w:ind w:firstLine="420" w:firstLineChars="200"/>
    </w:pPr>
  </w:style>
  <w:style w:type="paragraph" w:customStyle="1" w:styleId="23">
    <w:name w:val="正文文本缩进 21"/>
    <w:basedOn w:val="1"/>
    <w:autoRedefine/>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paragraph" w:customStyle="1" w:styleId="24">
    <w:name w:val="普通(网站)1"/>
    <w:basedOn w:val="1"/>
    <w:autoRedefine/>
    <w:qFormat/>
    <w:uiPriority w:val="0"/>
    <w:pPr>
      <w:spacing w:before="100" w:beforeAutospacing="1" w:after="100" w:afterAutospacing="1"/>
    </w:pPr>
    <w:rPr>
      <w:rFonts w:ascii="宋体" w:hAnsi="宋体" w:eastAsia="宋体" w:cs="宋体"/>
      <w:sz w:val="24"/>
      <w:szCs w:val="24"/>
    </w:rPr>
  </w:style>
  <w:style w:type="paragraph" w:customStyle="1" w:styleId="25">
    <w:name w:val="正文001"/>
    <w:basedOn w:val="1"/>
    <w:autoRedefine/>
    <w:qFormat/>
    <w:uiPriority w:val="0"/>
    <w:pPr>
      <w:spacing w:line="440" w:lineRule="atLeast"/>
      <w:ind w:firstLine="200" w:firstLineChars="200"/>
    </w:pPr>
    <w:rPr>
      <w:sz w:val="24"/>
      <w:szCs w:val="20"/>
    </w:rPr>
  </w:style>
  <w:style w:type="paragraph" w:customStyle="1" w:styleId="26">
    <w:name w:val="正文文字缩进 2"/>
    <w:basedOn w:val="1"/>
    <w:autoRedefine/>
    <w:qFormat/>
    <w:uiPriority w:val="0"/>
    <w:pPr>
      <w:spacing w:line="560" w:lineRule="exact"/>
      <w:ind w:firstLine="570"/>
    </w:pPr>
    <w:rPr>
      <w:szCs w:val="28"/>
    </w:rPr>
  </w:style>
  <w:style w:type="paragraph" w:customStyle="1" w:styleId="27">
    <w:name w:val="Table Paragraph"/>
    <w:basedOn w:val="1"/>
    <w:autoRedefine/>
    <w:qFormat/>
    <w:uiPriority w:val="1"/>
    <w:pPr>
      <w:jc w:val="left"/>
    </w:pPr>
    <w:rPr>
      <w:kern w:val="0"/>
      <w:sz w:val="22"/>
      <w:lang w:eastAsia="en-US"/>
    </w:rPr>
  </w:style>
  <w:style w:type="paragraph" w:customStyle="1" w:styleId="28">
    <w:name w:val="导则正文"/>
    <w:basedOn w:val="1"/>
    <w:autoRedefine/>
    <w:qFormat/>
    <w:uiPriority w:val="0"/>
    <w:pPr>
      <w:ind w:firstLine="200" w:firstLineChars="200"/>
      <w:jc w:val="left"/>
    </w:pPr>
    <w:rPr>
      <w:rFonts w:ascii="Times New Roman" w:hAnsi="Times New Roman" w:eastAsia="宋体" w:cs="Times New Roman"/>
      <w:szCs w:val="21"/>
    </w:rPr>
  </w:style>
  <w:style w:type="character" w:customStyle="1" w:styleId="29">
    <w:name w:val="页眉 字符"/>
    <w:basedOn w:val="17"/>
    <w:link w:val="13"/>
    <w:autoRedefine/>
    <w:qFormat/>
    <w:uiPriority w:val="0"/>
    <w:rPr>
      <w:rFonts w:asciiTheme="minorHAnsi" w:hAnsiTheme="minorHAnsi" w:eastAsiaTheme="minorEastAsia" w:cstheme="minorBidi"/>
      <w:kern w:val="2"/>
      <w:sz w:val="18"/>
      <w:szCs w:val="18"/>
    </w:rPr>
  </w:style>
  <w:style w:type="character" w:customStyle="1" w:styleId="30">
    <w:name w:val="批注文字 字符"/>
    <w:basedOn w:val="17"/>
    <w:link w:val="6"/>
    <w:autoRedefine/>
    <w:qFormat/>
    <w:uiPriority w:val="99"/>
    <w:rPr>
      <w:kern w:val="2"/>
      <w:sz w:val="24"/>
      <w:szCs w:val="24"/>
    </w:rPr>
  </w:style>
  <w:style w:type="character" w:customStyle="1" w:styleId="31">
    <w:name w:val="文本 Char"/>
    <w:link w:val="32"/>
    <w:autoRedefine/>
    <w:qFormat/>
    <w:uiPriority w:val="0"/>
    <w:rPr>
      <w:rFonts w:eastAsiaTheme="minorEastAsia" w:cstheme="minorBidi"/>
      <w:kern w:val="2"/>
      <w:sz w:val="24"/>
      <w:szCs w:val="22"/>
    </w:rPr>
  </w:style>
  <w:style w:type="paragraph" w:customStyle="1" w:styleId="32">
    <w:name w:val="文本"/>
    <w:basedOn w:val="1"/>
    <w:link w:val="31"/>
    <w:autoRedefine/>
    <w:qFormat/>
    <w:uiPriority w:val="0"/>
    <w:pPr>
      <w:spacing w:line="360" w:lineRule="auto"/>
      <w:ind w:firstLine="480" w:firstLineChars="200"/>
      <w:jc w:val="left"/>
    </w:pPr>
    <w:rPr>
      <w:rFonts w:ascii="Times New Roman" w:hAnsi="Times New Roman"/>
      <w:sz w:val="24"/>
    </w:rPr>
  </w:style>
  <w:style w:type="character" w:customStyle="1" w:styleId="33">
    <w:name w:val="批注框文本 字符"/>
    <w:basedOn w:val="17"/>
    <w:link w:val="11"/>
    <w:autoRedefine/>
    <w:qFormat/>
    <w:uiPriority w:val="0"/>
    <w:rPr>
      <w:rFonts w:asciiTheme="minorHAnsi" w:hAnsiTheme="minorHAnsi" w:eastAsiaTheme="minorEastAsia" w:cstheme="minorBidi"/>
      <w:kern w:val="2"/>
      <w:sz w:val="18"/>
      <w:szCs w:val="18"/>
    </w:rPr>
  </w:style>
  <w:style w:type="character" w:customStyle="1" w:styleId="34">
    <w:name w:val="正文文本 字符"/>
    <w:basedOn w:val="17"/>
    <w:link w:val="7"/>
    <w:autoRedefine/>
    <w:qFormat/>
    <w:uiPriority w:val="0"/>
    <w:rPr>
      <w:kern w:val="2"/>
      <w:sz w:val="21"/>
      <w:szCs w:val="24"/>
    </w:rPr>
  </w:style>
  <w:style w:type="paragraph" w:styleId="35">
    <w:name w:val="List Paragraph"/>
    <w:basedOn w:val="1"/>
    <w:autoRedefine/>
    <w:qFormat/>
    <w:uiPriority w:val="34"/>
    <w:pPr>
      <w:ind w:firstLine="420" w:firstLineChars="200"/>
    </w:pPr>
  </w:style>
  <w:style w:type="table" w:customStyle="1" w:styleId="36">
    <w:name w:val="TableGrid"/>
    <w:autoRedefine/>
    <w:qFormat/>
    <w:uiPriority w:val="0"/>
    <w:tblPr>
      <w:tblCellMar>
        <w:top w:w="0" w:type="dxa"/>
        <w:left w:w="0" w:type="dxa"/>
        <w:bottom w:w="0" w:type="dxa"/>
        <w:right w:w="0" w:type="dxa"/>
      </w:tblCellMar>
    </w:tblPr>
  </w:style>
  <w:style w:type="character" w:customStyle="1" w:styleId="37">
    <w:name w:val="Unresolved Mention"/>
    <w:basedOn w:val="17"/>
    <w:autoRedefine/>
    <w:semiHidden/>
    <w:unhideWhenUsed/>
    <w:qFormat/>
    <w:uiPriority w:val="99"/>
    <w:rPr>
      <w:color w:val="605E5C"/>
      <w:shd w:val="clear" w:color="auto" w:fill="E1DFDD"/>
    </w:rPr>
  </w:style>
  <w:style w:type="character" w:customStyle="1" w:styleId="38">
    <w:name w:val="正文缩进 字符"/>
    <w:link w:val="5"/>
    <w:autoRedefine/>
    <w:qFormat/>
    <w:locked/>
    <w:uiPriority w:val="0"/>
    <w:rPr>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3703</Words>
  <Characters>4132</Characters>
  <Lines>30</Lines>
  <Paragraphs>8</Paragraphs>
  <TotalTime>5</TotalTime>
  <ScaleCrop>false</ScaleCrop>
  <LinksUpToDate>false</LinksUpToDate>
  <CharactersWithSpaces>4150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2018-01-08T02:45:00Z</dcterms:created>
  <dc:creator>七个柚子</dc:creator>
  <cp:lastModifiedBy>tookyfang</cp:lastModifiedBy>
  <cp:lastPrinted>2023-11-08T09:44:00Z</cp:lastPrinted>
  <dcterms:modified xsi:type="dcterms:W3CDTF">2024-12-10T09:45:12Z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DFC5C0216428447D878F23C79B2F4B95_13</vt:lpwstr>
  </property>
</Properties>
</file>