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8C2CE3">
      <w:pPr>
        <w:spacing w:line="360" w:lineRule="auto"/>
        <w:jc w:val="center"/>
        <w:rPr>
          <w:rFonts w:ascii="Times New Roman" w:hAnsi="Times New Roman" w:eastAsia="宋体" w:cs="Times New Roman"/>
          <w:b/>
          <w:sz w:val="28"/>
          <w:szCs w:val="28"/>
        </w:rPr>
      </w:pPr>
      <w:r>
        <w:rPr>
          <w:rFonts w:hint="eastAsia" w:ascii="Times New Roman" w:hAnsi="Times New Roman" w:eastAsia="宋体" w:cs="Times New Roman"/>
          <w:b/>
          <w:sz w:val="28"/>
          <w:szCs w:val="28"/>
        </w:rPr>
        <w:t>武义嘉新金属制品有限公司年产350万套咖啡壶技改项目</w:t>
      </w:r>
    </w:p>
    <w:p w14:paraId="01C7E857">
      <w:pPr>
        <w:spacing w:line="360" w:lineRule="auto"/>
        <w:jc w:val="center"/>
        <w:rPr>
          <w:rFonts w:ascii="Times New Roman" w:hAnsi="Times New Roman" w:eastAsia="宋体" w:cs="Times New Roman"/>
          <w:b/>
          <w:sz w:val="28"/>
          <w:szCs w:val="28"/>
        </w:rPr>
      </w:pPr>
      <w:r>
        <w:rPr>
          <w:rFonts w:ascii="Times New Roman" w:hAnsi="Times New Roman" w:eastAsia="宋体" w:cs="Times New Roman"/>
          <w:b/>
          <w:sz w:val="28"/>
          <w:szCs w:val="28"/>
        </w:rPr>
        <w:t>竣工环境保护验收意见</w:t>
      </w:r>
    </w:p>
    <w:p w14:paraId="1A24D7BE">
      <w:pPr>
        <w:pStyle w:val="20"/>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cs="Times New Roman"/>
          <w:color w:val="auto"/>
        </w:rPr>
      </w:pPr>
      <w:r>
        <w:rPr>
          <w:rFonts w:hint="eastAsia" w:ascii="Times New Roman" w:hAnsi="Times New Roman" w:cs="Times New Roman"/>
          <w:color w:val="auto"/>
        </w:rPr>
        <w:t>2025</w:t>
      </w:r>
      <w:r>
        <w:rPr>
          <w:rFonts w:ascii="Times New Roman" w:hAnsi="Times New Roman" w:cs="Times New Roman"/>
          <w:color w:val="auto"/>
        </w:rPr>
        <w:t>年</w:t>
      </w:r>
      <w:r>
        <w:rPr>
          <w:rFonts w:hint="eastAsia" w:ascii="Times New Roman" w:hAnsi="Times New Roman" w:cs="Times New Roman"/>
          <w:color w:val="auto"/>
        </w:rPr>
        <w:t>4</w:t>
      </w:r>
      <w:r>
        <w:rPr>
          <w:rFonts w:ascii="Times New Roman" w:hAnsi="Times New Roman" w:cs="Times New Roman"/>
          <w:color w:val="auto"/>
        </w:rPr>
        <w:t>月</w:t>
      </w:r>
      <w:r>
        <w:rPr>
          <w:rFonts w:hint="eastAsia" w:ascii="Times New Roman" w:hAnsi="Times New Roman" w:cs="Times New Roman"/>
          <w:color w:val="auto"/>
        </w:rPr>
        <w:t>3</w:t>
      </w:r>
      <w:r>
        <w:rPr>
          <w:rFonts w:ascii="Times New Roman" w:hAnsi="Times New Roman" w:cs="Times New Roman"/>
          <w:color w:val="auto"/>
        </w:rPr>
        <w:t>日，</w:t>
      </w:r>
      <w:r>
        <w:rPr>
          <w:rFonts w:hint="eastAsia" w:ascii="Times New Roman" w:hAnsi="Times New Roman" w:cs="Times New Roman"/>
          <w:color w:val="auto"/>
        </w:rPr>
        <w:t>武义嘉新金属制品有限公司</w:t>
      </w:r>
      <w:r>
        <w:rPr>
          <w:rFonts w:ascii="Times New Roman" w:hAnsi="Times New Roman" w:cs="Times New Roman"/>
          <w:color w:val="auto"/>
        </w:rPr>
        <w:t>根据《</w:t>
      </w:r>
      <w:bookmarkStart w:id="0" w:name="_Hlk57385975"/>
      <w:r>
        <w:rPr>
          <w:rFonts w:hint="eastAsia" w:ascii="Times New Roman" w:hAnsi="Times New Roman" w:cs="Times New Roman"/>
          <w:color w:val="auto"/>
        </w:rPr>
        <w:t>武义嘉新金属制品有限公司年产350万套咖啡壶技改项目项目</w:t>
      </w:r>
      <w:r>
        <w:rPr>
          <w:rFonts w:ascii="Times New Roman" w:hAnsi="Times New Roman" w:cs="Times New Roman"/>
          <w:color w:val="auto"/>
        </w:rPr>
        <w:t>竣工环境保护验收监测报告</w:t>
      </w:r>
      <w:bookmarkEnd w:id="0"/>
      <w:r>
        <w:rPr>
          <w:rFonts w:ascii="Times New Roman" w:hAnsi="Times New Roman" w:cs="Times New Roman"/>
          <w:color w:val="auto"/>
        </w:rPr>
        <w:t>》并对照《建设项目竣工环境保护验收暂行办法》（国环规环评[2017]4号）、关于印发《污染影响类建设项目重大变动清单（试行）》的通知（环办环评函（2020）688号），严格依照国家有关法律法规、建设项目竣工环境保护验收技术规范、环境影响评价报告表和审批部门审查意见要求对</w:t>
      </w:r>
      <w:r>
        <w:rPr>
          <w:rFonts w:hint="eastAsia" w:ascii="Times New Roman" w:hAnsi="Times New Roman" w:cs="Times New Roman"/>
          <w:color w:val="auto"/>
        </w:rPr>
        <w:t>武义嘉新金属制品有限公司年产350万套咖啡壶技改项目</w:t>
      </w:r>
      <w:r>
        <w:rPr>
          <w:rFonts w:ascii="Times New Roman" w:hAnsi="Times New Roman" w:cs="Times New Roman"/>
          <w:color w:val="auto"/>
        </w:rPr>
        <w:t>进行竣工环境保护验收。参加验收会议的有：</w:t>
      </w:r>
      <w:r>
        <w:rPr>
          <w:rFonts w:hint="eastAsia" w:ascii="Times New Roman" w:hAnsi="Times New Roman" w:cs="Times New Roman"/>
          <w:color w:val="auto"/>
        </w:rPr>
        <w:t>武义嘉新金属制品有限公司</w:t>
      </w:r>
      <w:r>
        <w:rPr>
          <w:rFonts w:ascii="Times New Roman" w:hAnsi="Times New Roman" w:cs="Times New Roman"/>
          <w:color w:val="auto"/>
        </w:rPr>
        <w:t>（建设单位）、浙江高鑫安全检测科技有限公司（验收监测单位）</w:t>
      </w:r>
      <w:r>
        <w:rPr>
          <w:rFonts w:hint="eastAsia" w:ascii="Times New Roman" w:hAnsi="Times New Roman" w:cs="Times New Roman"/>
          <w:color w:val="auto"/>
        </w:rPr>
        <w:t>、杭州逸臻环保设备有限公司（环保设施设计施工单位）</w:t>
      </w:r>
      <w:r>
        <w:rPr>
          <w:rFonts w:ascii="Times New Roman" w:hAnsi="Times New Roman" w:cs="Times New Roman"/>
          <w:color w:val="auto"/>
        </w:rPr>
        <w:t>等单位的代表及特邀专家，参会人员组成验收组（人员名单附后）。会前验收组现场检查了该工程环保设施的建设和运行情况，会上分别听取了建设单位对该工程环保执行情况的汇报、浙江高鑫安全检测科技有限公司关于该工程竣工环境保护验收监测情况的汇报，经认真讨论，形成先行竣工环境保护验收意见如下：</w:t>
      </w:r>
    </w:p>
    <w:p w14:paraId="720D9100">
      <w:pPr>
        <w:keepNext w:val="0"/>
        <w:keepLines w:val="0"/>
        <w:pageBreakBefore w:val="0"/>
        <w:kinsoku/>
        <w:wordWrap/>
        <w:overflowPunct/>
        <w:topLinePunct w:val="0"/>
        <w:bidi w:val="0"/>
        <w:adjustRightInd w:val="0"/>
        <w:snapToGrid w:val="0"/>
        <w:spacing w:line="336" w:lineRule="auto"/>
        <w:ind w:firstLine="482" w:firstLineChars="200"/>
        <w:textAlignment w:val="auto"/>
        <w:rPr>
          <w:rFonts w:ascii="Times New Roman" w:hAnsi="Times New Roman" w:eastAsia="宋体" w:cs="Times New Roman"/>
          <w:b/>
          <w:sz w:val="24"/>
          <w:szCs w:val="24"/>
        </w:rPr>
      </w:pPr>
      <w:r>
        <w:rPr>
          <w:rFonts w:ascii="Times New Roman" w:hAnsi="Times New Roman" w:eastAsia="宋体" w:cs="Times New Roman"/>
          <w:b/>
          <w:sz w:val="24"/>
          <w:szCs w:val="24"/>
        </w:rPr>
        <w:t>一、工程建设基本情况</w:t>
      </w:r>
    </w:p>
    <w:p w14:paraId="7A62AC19">
      <w:pPr>
        <w:pStyle w:val="20"/>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cs="Times New Roman"/>
          <w:color w:val="auto"/>
        </w:rPr>
      </w:pPr>
      <w:r>
        <w:rPr>
          <w:rFonts w:ascii="Times New Roman" w:hAnsi="Times New Roman" w:cs="Times New Roman"/>
          <w:color w:val="auto"/>
        </w:rPr>
        <w:t>（一）建设地点、规模、主要建设内容</w:t>
      </w:r>
    </w:p>
    <w:p w14:paraId="7B7CF2FE">
      <w:pPr>
        <w:keepNext w:val="0"/>
        <w:keepLines w:val="0"/>
        <w:pageBreakBefore w:val="0"/>
        <w:kinsoku/>
        <w:wordWrap/>
        <w:overflowPunct/>
        <w:topLinePunct w:val="0"/>
        <w:bidi w:val="0"/>
        <w:adjustRightInd w:val="0"/>
        <w:snapToGrid w:val="0"/>
        <w:spacing w:line="336" w:lineRule="auto"/>
        <w:ind w:firstLine="480"/>
        <w:textAlignment w:val="auto"/>
        <w:rPr>
          <w:rFonts w:ascii="Times New Roman" w:hAnsi="Times New Roman" w:cs="Times New Roman"/>
          <w:color w:val="000000" w:themeColor="text1"/>
          <w:sz w:val="24"/>
          <w:szCs w:val="24"/>
          <w:lang w:bidi="zh-CN"/>
        </w:rPr>
      </w:pPr>
      <w:r>
        <w:rPr>
          <w:rFonts w:hint="eastAsia" w:ascii="Times New Roman" w:hAnsi="Times New Roman" w:cs="Times New Roman"/>
          <w:color w:val="000000" w:themeColor="text1"/>
          <w:sz w:val="24"/>
          <w:szCs w:val="24"/>
          <w:lang w:bidi="zh-CN"/>
        </w:rPr>
        <w:t>本项目利用浙江省金华市武义桐琴工业园区纬五东路1号闲置工业厂房实施本项目。本项目实际总投资240万元，实际环保投资60万元，购置冷室压铸，卷料激光切削生产线、激光焊铝专用机等设备。</w:t>
      </w:r>
    </w:p>
    <w:p w14:paraId="04112DDA">
      <w:pPr>
        <w:keepNext w:val="0"/>
        <w:keepLines w:val="0"/>
        <w:pageBreakBefore w:val="0"/>
        <w:kinsoku/>
        <w:wordWrap/>
        <w:overflowPunct/>
        <w:topLinePunct w:val="0"/>
        <w:bidi w:val="0"/>
        <w:adjustRightInd w:val="0"/>
        <w:snapToGrid w:val="0"/>
        <w:spacing w:line="336" w:lineRule="auto"/>
        <w:ind w:firstLine="480"/>
        <w:textAlignment w:val="auto"/>
        <w:rPr>
          <w:rFonts w:ascii="Times New Roman" w:hAnsi="Times New Roman" w:cs="Times New Roman"/>
          <w:color w:val="000000" w:themeColor="text1"/>
          <w:sz w:val="24"/>
          <w:szCs w:val="24"/>
          <w:lang w:bidi="zh-CN"/>
        </w:rPr>
      </w:pPr>
      <w:r>
        <w:rPr>
          <w:rFonts w:hint="eastAsia" w:ascii="Times New Roman" w:hAnsi="Times New Roman" w:cs="Times New Roman"/>
          <w:color w:val="000000" w:themeColor="text1"/>
          <w:sz w:val="24"/>
          <w:szCs w:val="24"/>
          <w:lang w:bidi="zh-CN"/>
        </w:rPr>
        <w:t>本项目于2024年9月开工建设，至2024年9月30日竣工，2024年10月1日至2024年10月30日完成调试，2024年12月投入试生产。建成后全厂形成“年产350万套咖啡壶”生产能力。</w:t>
      </w:r>
    </w:p>
    <w:p w14:paraId="6A261F11">
      <w:pPr>
        <w:keepNext w:val="0"/>
        <w:keepLines w:val="0"/>
        <w:pageBreakBefore w:val="0"/>
        <w:kinsoku/>
        <w:wordWrap/>
        <w:overflowPunct/>
        <w:topLinePunct w:val="0"/>
        <w:bidi w:val="0"/>
        <w:adjustRightInd w:val="0"/>
        <w:snapToGrid w:val="0"/>
        <w:spacing w:line="336" w:lineRule="auto"/>
        <w:ind w:firstLine="480"/>
        <w:textAlignment w:val="auto"/>
        <w:rPr>
          <w:rFonts w:ascii="Times New Roman" w:hAnsi="Times New Roman" w:cs="Times New Roman"/>
          <w:color w:val="000000" w:themeColor="text1"/>
          <w:sz w:val="24"/>
          <w:szCs w:val="24"/>
          <w:lang w:bidi="zh-CN"/>
        </w:rPr>
      </w:pPr>
      <w:r>
        <w:rPr>
          <w:rFonts w:hint="eastAsia" w:ascii="Times New Roman" w:hAnsi="Times New Roman" w:cs="Times New Roman"/>
          <w:color w:val="000000" w:themeColor="text1"/>
          <w:sz w:val="24"/>
          <w:szCs w:val="24"/>
          <w:lang w:bidi="zh-CN"/>
        </w:rPr>
        <w:t>本项目全厂员工人数80人，熔化压铸环节实行三班轮作工作制，其余生产环节仍维持8h白班工作制，年工作日为300天，厂区内不设员工食堂和宿舍。</w:t>
      </w:r>
    </w:p>
    <w:p w14:paraId="39FD1308">
      <w:pPr>
        <w:pStyle w:val="20"/>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cs="Times New Roman"/>
          <w:color w:val="auto"/>
        </w:rPr>
      </w:pPr>
      <w:r>
        <w:rPr>
          <w:rFonts w:ascii="Times New Roman" w:hAnsi="Times New Roman" w:cs="Times New Roman"/>
          <w:color w:val="auto"/>
        </w:rPr>
        <w:t>（二）建设过程及环保审批情况</w:t>
      </w:r>
    </w:p>
    <w:p w14:paraId="2F3459FB">
      <w:pPr>
        <w:keepNext w:val="0"/>
        <w:keepLines w:val="0"/>
        <w:pageBreakBefore w:val="0"/>
        <w:kinsoku/>
        <w:wordWrap/>
        <w:overflowPunct/>
        <w:topLinePunct w:val="0"/>
        <w:bidi w:val="0"/>
        <w:adjustRightInd w:val="0"/>
        <w:snapToGrid w:val="0"/>
        <w:spacing w:line="336" w:lineRule="auto"/>
        <w:ind w:firstLine="480"/>
        <w:textAlignment w:val="auto"/>
        <w:rPr>
          <w:rFonts w:ascii="Times New Roman" w:hAnsi="Times New Roman" w:cs="Times New Roman"/>
          <w:color w:val="000000" w:themeColor="text1"/>
          <w:sz w:val="24"/>
          <w:szCs w:val="24"/>
          <w:lang w:bidi="zh-CN"/>
        </w:rPr>
      </w:pPr>
      <w:r>
        <w:rPr>
          <w:rFonts w:hint="eastAsia" w:ascii="Times New Roman" w:hAnsi="Times New Roman" w:cs="Times New Roman"/>
          <w:color w:val="000000" w:themeColor="text1"/>
          <w:sz w:val="24"/>
          <w:szCs w:val="24"/>
          <w:lang w:bidi="zh-CN"/>
        </w:rPr>
        <w:t>2023年9月，武义县经济商务局（粮食和物资储备局）对本项目立项备案，备案号：2309-330723-07-02-246401。</w:t>
      </w:r>
    </w:p>
    <w:p w14:paraId="44F0265D">
      <w:pPr>
        <w:keepNext w:val="0"/>
        <w:keepLines w:val="0"/>
        <w:pageBreakBefore w:val="0"/>
        <w:kinsoku/>
        <w:wordWrap/>
        <w:overflowPunct/>
        <w:topLinePunct w:val="0"/>
        <w:bidi w:val="0"/>
        <w:adjustRightInd w:val="0"/>
        <w:snapToGrid w:val="0"/>
        <w:spacing w:line="336" w:lineRule="auto"/>
        <w:ind w:firstLine="480"/>
        <w:textAlignment w:val="auto"/>
        <w:rPr>
          <w:rFonts w:ascii="Times New Roman" w:hAnsi="Times New Roman" w:cs="Times New Roman"/>
          <w:color w:val="000000" w:themeColor="text1"/>
          <w:sz w:val="24"/>
          <w:szCs w:val="24"/>
          <w:lang w:bidi="zh-CN"/>
        </w:rPr>
      </w:pPr>
      <w:r>
        <w:rPr>
          <w:rFonts w:hint="eastAsia" w:ascii="Times New Roman" w:hAnsi="Times New Roman" w:cs="Times New Roman"/>
          <w:color w:val="000000" w:themeColor="text1"/>
          <w:sz w:val="24"/>
          <w:szCs w:val="24"/>
          <w:lang w:bidi="zh-CN"/>
        </w:rPr>
        <w:t>2019年委托浙江冶金环境保护设计研究有限公司编制完成</w:t>
      </w:r>
      <w:r>
        <w:rPr>
          <w:rFonts w:hint="eastAsia" w:ascii="Times New Roman" w:hAnsi="Times New Roman" w:cs="Times New Roman"/>
          <w:sz w:val="24"/>
          <w:szCs w:val="24"/>
          <w:lang w:bidi="zh-CN"/>
        </w:rPr>
        <w:t>《武义嘉新金属制品有限公司咖啡壶生产线项目环境影响报告表》。同年该</w:t>
      </w:r>
      <w:r>
        <w:rPr>
          <w:rFonts w:hint="eastAsia" w:ascii="Times New Roman" w:hAnsi="Times New Roman" w:cs="Times New Roman"/>
          <w:color w:val="000000" w:themeColor="text1"/>
          <w:sz w:val="24"/>
          <w:szCs w:val="24"/>
          <w:lang w:bidi="zh-CN"/>
        </w:rPr>
        <w:t>项目通过金华市生态环境局武义分局审批，2019年该项目完成废气、废水、噪声“三同时”环保竣工自主验收，2020年该项目通过金华市生态环境局武义分局固废验收，由于企业经营调整，该项目已于2021年停产，生产设施已拆除完毕。</w:t>
      </w:r>
    </w:p>
    <w:p w14:paraId="62A4F265">
      <w:pPr>
        <w:keepNext w:val="0"/>
        <w:keepLines w:val="0"/>
        <w:pageBreakBefore w:val="0"/>
        <w:kinsoku/>
        <w:wordWrap/>
        <w:overflowPunct/>
        <w:topLinePunct w:val="0"/>
        <w:bidi w:val="0"/>
        <w:adjustRightInd w:val="0"/>
        <w:snapToGrid w:val="0"/>
        <w:spacing w:line="336" w:lineRule="auto"/>
        <w:ind w:firstLine="480"/>
        <w:textAlignment w:val="auto"/>
        <w:rPr>
          <w:rFonts w:ascii="Times New Roman" w:hAnsi="Times New Roman" w:cs="Times New Roman"/>
          <w:color w:val="000000" w:themeColor="text1"/>
          <w:sz w:val="24"/>
          <w:szCs w:val="24"/>
          <w:lang w:bidi="zh-CN"/>
        </w:rPr>
      </w:pPr>
      <w:r>
        <w:rPr>
          <w:rFonts w:hint="eastAsia" w:ascii="Times New Roman" w:hAnsi="Times New Roman" w:cs="Times New Roman"/>
          <w:color w:val="000000" w:themeColor="text1"/>
          <w:sz w:val="24"/>
          <w:szCs w:val="24"/>
          <w:lang w:bidi="zh-CN"/>
        </w:rPr>
        <w:t>2021年委托浙江翠金环境科技有限公司编制完成《武义嘉新金属制品有限公司年产300万套咖啡壶生产线迁建项目环境影响登记表》（注：其中200万套不锈钢咖啡壶，100万套铝制咖啡壶），同年该项目通过金华市生态环境局武义分局审批，2021年该项目通过“三同时”环保设施竣工自主验收，现处于正常生产中。</w:t>
      </w:r>
    </w:p>
    <w:p w14:paraId="0CF2B6E5">
      <w:pPr>
        <w:keepNext w:val="0"/>
        <w:keepLines w:val="0"/>
        <w:pageBreakBefore w:val="0"/>
        <w:kinsoku/>
        <w:wordWrap/>
        <w:overflowPunct/>
        <w:topLinePunct w:val="0"/>
        <w:bidi w:val="0"/>
        <w:adjustRightInd w:val="0"/>
        <w:snapToGrid w:val="0"/>
        <w:spacing w:line="336" w:lineRule="auto"/>
        <w:ind w:firstLine="480"/>
        <w:textAlignment w:val="auto"/>
        <w:rPr>
          <w:rFonts w:ascii="Times New Roman" w:hAnsi="Times New Roman" w:eastAsia="宋体" w:cs="Times New Roman"/>
          <w:sz w:val="24"/>
          <w:szCs w:val="24"/>
          <w:lang w:bidi="zh-CN"/>
        </w:rPr>
      </w:pPr>
      <w:r>
        <w:rPr>
          <w:rFonts w:hint="eastAsia" w:ascii="Times New Roman" w:hAnsi="Times New Roman" w:cs="Times New Roman"/>
          <w:color w:val="000000" w:themeColor="text1"/>
          <w:sz w:val="24"/>
          <w:szCs w:val="24"/>
          <w:lang w:bidi="zh-CN"/>
        </w:rPr>
        <w:t>2024年8月委托浙江翠金环境科技有限公司编制了《武义嘉新金属制品有限公司年产350万套咖啡壶技改项目概况补充说明》并于2024年9月2日通过金华市生态环境局审批（金环建武备【2024】167号）。2024年12月30日取得排污许可证，证书编号为：90330723MA29R1K65K001Z。</w:t>
      </w:r>
    </w:p>
    <w:p w14:paraId="08C08593">
      <w:pPr>
        <w:pStyle w:val="20"/>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cs="Times New Roman"/>
          <w:color w:val="auto"/>
        </w:rPr>
      </w:pPr>
      <w:r>
        <w:rPr>
          <w:rFonts w:ascii="Times New Roman" w:hAnsi="Times New Roman" w:cs="Times New Roman"/>
          <w:color w:val="auto"/>
        </w:rPr>
        <w:t>（三）投资情况</w:t>
      </w:r>
    </w:p>
    <w:p w14:paraId="36520301">
      <w:pPr>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eastAsia="宋体" w:cs="Times New Roman"/>
          <w:sz w:val="24"/>
          <w:szCs w:val="24"/>
        </w:rPr>
      </w:pPr>
      <w:r>
        <w:rPr>
          <w:rFonts w:ascii="Times New Roman" w:hAnsi="Times New Roman" w:eastAsia="宋体" w:cs="Times New Roman"/>
          <w:sz w:val="24"/>
          <w:szCs w:val="24"/>
        </w:rPr>
        <w:t>项目预计总投资</w:t>
      </w:r>
      <w:r>
        <w:rPr>
          <w:rFonts w:hint="eastAsia" w:ascii="Times New Roman" w:hAnsi="Times New Roman" w:eastAsia="宋体" w:cs="Times New Roman"/>
          <w:sz w:val="24"/>
          <w:szCs w:val="24"/>
        </w:rPr>
        <w:t>251</w:t>
      </w:r>
      <w:r>
        <w:rPr>
          <w:rFonts w:ascii="Times New Roman" w:hAnsi="Times New Roman" w:eastAsia="宋体" w:cs="Times New Roman"/>
          <w:sz w:val="24"/>
          <w:szCs w:val="24"/>
        </w:rPr>
        <w:t>万元，环保投资</w:t>
      </w:r>
      <w:r>
        <w:rPr>
          <w:rFonts w:hint="eastAsia" w:ascii="Times New Roman" w:hAnsi="Times New Roman" w:eastAsia="宋体" w:cs="Times New Roman"/>
          <w:sz w:val="24"/>
          <w:szCs w:val="24"/>
        </w:rPr>
        <w:t>60</w:t>
      </w:r>
      <w:r>
        <w:rPr>
          <w:rFonts w:ascii="Times New Roman" w:hAnsi="Times New Roman" w:eastAsia="宋体" w:cs="Times New Roman"/>
          <w:sz w:val="24"/>
          <w:szCs w:val="24"/>
        </w:rPr>
        <w:t>万元，占总投资</w:t>
      </w:r>
      <w:r>
        <w:rPr>
          <w:rFonts w:hint="eastAsia" w:ascii="Times New Roman" w:hAnsi="Times New Roman" w:eastAsia="宋体" w:cs="Times New Roman"/>
          <w:sz w:val="24"/>
          <w:szCs w:val="24"/>
        </w:rPr>
        <w:t>24.3</w:t>
      </w:r>
      <w:r>
        <w:rPr>
          <w:rFonts w:ascii="Times New Roman" w:hAnsi="Times New Roman" w:eastAsia="宋体" w:cs="Times New Roman"/>
          <w:sz w:val="24"/>
          <w:szCs w:val="24"/>
        </w:rPr>
        <w:t>%；项目实际总投资</w:t>
      </w:r>
      <w:r>
        <w:rPr>
          <w:rFonts w:hint="eastAsia" w:ascii="Times New Roman" w:hAnsi="Times New Roman" w:eastAsia="宋体" w:cs="Times New Roman"/>
          <w:sz w:val="24"/>
          <w:szCs w:val="24"/>
        </w:rPr>
        <w:t>240</w:t>
      </w:r>
      <w:r>
        <w:rPr>
          <w:rFonts w:ascii="Times New Roman" w:hAnsi="Times New Roman" w:eastAsia="宋体" w:cs="Times New Roman"/>
          <w:sz w:val="24"/>
          <w:szCs w:val="24"/>
        </w:rPr>
        <w:t>万元，环保投资</w:t>
      </w:r>
      <w:r>
        <w:rPr>
          <w:rFonts w:hint="eastAsia" w:ascii="Times New Roman" w:hAnsi="Times New Roman" w:eastAsia="宋体" w:cs="Times New Roman"/>
          <w:sz w:val="24"/>
          <w:szCs w:val="24"/>
        </w:rPr>
        <w:t>60</w:t>
      </w:r>
      <w:r>
        <w:rPr>
          <w:rFonts w:ascii="Times New Roman" w:hAnsi="Times New Roman" w:eastAsia="宋体" w:cs="Times New Roman"/>
          <w:sz w:val="24"/>
          <w:szCs w:val="24"/>
        </w:rPr>
        <w:t>万元，占总投资</w:t>
      </w:r>
      <w:r>
        <w:rPr>
          <w:rFonts w:hint="eastAsia" w:ascii="Times New Roman" w:hAnsi="Times New Roman" w:eastAsia="宋体" w:cs="Times New Roman"/>
          <w:sz w:val="24"/>
          <w:szCs w:val="24"/>
        </w:rPr>
        <w:t>25.0</w:t>
      </w:r>
      <w:r>
        <w:rPr>
          <w:rFonts w:ascii="Times New Roman" w:hAnsi="Times New Roman" w:eastAsia="宋体" w:cs="Times New Roman"/>
          <w:sz w:val="24"/>
          <w:szCs w:val="24"/>
        </w:rPr>
        <w:t>%。</w:t>
      </w:r>
    </w:p>
    <w:p w14:paraId="601A3586">
      <w:pPr>
        <w:pStyle w:val="20"/>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cs="Times New Roman"/>
          <w:color w:val="auto"/>
        </w:rPr>
      </w:pPr>
      <w:r>
        <w:rPr>
          <w:rFonts w:ascii="Times New Roman" w:hAnsi="Times New Roman" w:cs="Times New Roman"/>
          <w:color w:val="auto"/>
        </w:rPr>
        <w:t>（四）验收范围</w:t>
      </w:r>
    </w:p>
    <w:p w14:paraId="029116F6">
      <w:pPr>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eastAsia="宋体" w:cs="Times New Roman"/>
          <w:kern w:val="0"/>
          <w:sz w:val="24"/>
          <w:szCs w:val="24"/>
        </w:rPr>
      </w:pPr>
      <w:r>
        <w:rPr>
          <w:rFonts w:hint="eastAsia" w:ascii="Times New Roman" w:hAnsi="Times New Roman" w:cs="Times New Roman"/>
          <w:sz w:val="24"/>
          <w:szCs w:val="24"/>
          <w:lang w:bidi="zh-CN"/>
        </w:rPr>
        <w:t>本次环评《武义嘉新金属制品有限公司年产350万套咖啡壶技改项目概况补充说明（2024年）》是对《武义嘉新金属制品有限公司年产300万套咖啡壶生产线迁建项目（2021年）》中80万套喷漆涂装铝制咖啡壶进行技改，新增50万套喷漆铝制咖啡壶后，形成130万套喷漆涂装铝制壶生产线</w:t>
      </w:r>
      <w:r>
        <w:rPr>
          <w:rFonts w:hint="eastAsia" w:ascii="宋体" w:hAnsi="宋体" w:eastAsia="宋体" w:cs="宋体"/>
          <w:sz w:val="24"/>
          <w:szCs w:val="24"/>
        </w:rPr>
        <w:t>进行</w:t>
      </w:r>
      <w:r>
        <w:rPr>
          <w:rFonts w:hint="eastAsia" w:ascii="Times New Roman" w:hAnsi="Times New Roman" w:eastAsia="宋体" w:cs="Times New Roman"/>
          <w:sz w:val="24"/>
          <w:szCs w:val="24"/>
        </w:rPr>
        <w:t>整体</w:t>
      </w:r>
      <w:r>
        <w:rPr>
          <w:rFonts w:ascii="Times New Roman" w:hAnsi="Times New Roman" w:eastAsia="宋体" w:cs="Times New Roman"/>
          <w:sz w:val="24"/>
          <w:szCs w:val="24"/>
        </w:rPr>
        <w:t>验收</w:t>
      </w:r>
      <w:r>
        <w:rPr>
          <w:rFonts w:hint="eastAsia" w:ascii="Times New Roman" w:hAnsi="Times New Roman" w:eastAsia="宋体" w:cs="Times New Roman"/>
          <w:sz w:val="24"/>
          <w:szCs w:val="24"/>
        </w:rPr>
        <w:t>， 即</w:t>
      </w:r>
      <w:r>
        <w:rPr>
          <w:rFonts w:ascii="Times New Roman" w:hAnsi="Times New Roman" w:eastAsia="宋体" w:cs="Times New Roman"/>
          <w:sz w:val="24"/>
          <w:szCs w:val="24"/>
        </w:rPr>
        <w:t>验收范围为</w:t>
      </w:r>
      <w:r>
        <w:rPr>
          <w:rFonts w:hint="eastAsia" w:ascii="宋体" w:hAnsi="宋体" w:eastAsia="宋体" w:cs="宋体"/>
          <w:sz w:val="24"/>
          <w:szCs w:val="24"/>
        </w:rPr>
        <w:t>“</w:t>
      </w:r>
      <w:r>
        <w:rPr>
          <w:rFonts w:hint="eastAsia" w:ascii="Times New Roman" w:hAnsi="Times New Roman" w:cs="Times New Roman"/>
          <w:bCs/>
          <w:sz w:val="24"/>
          <w:szCs w:val="24"/>
          <w:lang w:bidi="zh-CN"/>
        </w:rPr>
        <w:t>年产350万套咖啡壶技改项目中年产130万套铝制咖啡壶喷漆涂装产能生产线</w:t>
      </w:r>
      <w:r>
        <w:rPr>
          <w:rFonts w:hint="eastAsia" w:ascii="宋体" w:hAnsi="宋体" w:eastAsia="宋体" w:cs="宋体"/>
          <w:sz w:val="24"/>
          <w:szCs w:val="24"/>
        </w:rPr>
        <w:t>”</w:t>
      </w:r>
      <w:r>
        <w:rPr>
          <w:rFonts w:ascii="Times New Roman" w:hAnsi="Times New Roman" w:eastAsia="宋体" w:cs="Times New Roman"/>
          <w:i/>
          <w:sz w:val="24"/>
          <w:szCs w:val="24"/>
        </w:rPr>
        <w:t>。</w:t>
      </w:r>
      <w:r>
        <w:rPr>
          <w:rFonts w:ascii="Times New Roman" w:hAnsi="Times New Roman" w:eastAsia="宋体" w:cs="Times New Roman"/>
          <w:sz w:val="24"/>
          <w:szCs w:val="24"/>
        </w:rPr>
        <w:t>验收实施项目环保</w:t>
      </w:r>
      <w:r>
        <w:rPr>
          <w:rFonts w:ascii="Times New Roman" w:hAnsi="Times New Roman" w:eastAsia="宋体" w:cs="Times New Roman"/>
          <w:kern w:val="0"/>
          <w:sz w:val="24"/>
          <w:szCs w:val="24"/>
        </w:rPr>
        <w:t>设备（措施）落实情况，污染物达标排放及总量控制情况</w:t>
      </w:r>
      <w:r>
        <w:rPr>
          <w:rFonts w:hint="eastAsia" w:ascii="Times New Roman" w:hAnsi="Times New Roman" w:eastAsia="宋体" w:cs="Times New Roman"/>
          <w:kern w:val="0"/>
          <w:sz w:val="24"/>
          <w:szCs w:val="24"/>
        </w:rPr>
        <w:t>，本次为整体验收</w:t>
      </w:r>
      <w:r>
        <w:rPr>
          <w:rFonts w:ascii="Times New Roman" w:hAnsi="Times New Roman" w:eastAsia="宋体" w:cs="Times New Roman"/>
          <w:kern w:val="0"/>
          <w:sz w:val="24"/>
          <w:szCs w:val="24"/>
        </w:rPr>
        <w:t>。</w:t>
      </w:r>
    </w:p>
    <w:p w14:paraId="2ADC3E4B">
      <w:pPr>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eastAsia="宋体" w:cs="Times New Roman"/>
          <w:sz w:val="24"/>
          <w:szCs w:val="24"/>
        </w:rPr>
      </w:pPr>
      <w:r>
        <w:rPr>
          <w:rFonts w:ascii="Times New Roman" w:hAnsi="Times New Roman" w:eastAsia="宋体" w:cs="Times New Roman"/>
          <w:sz w:val="24"/>
          <w:szCs w:val="24"/>
        </w:rPr>
        <w:t>二、工程变动情况</w:t>
      </w:r>
    </w:p>
    <w:p w14:paraId="40B6CDF5">
      <w:pPr>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eastAsia="宋体" w:cs="Times New Roman"/>
          <w:color w:val="000000" w:themeColor="text1"/>
          <w:sz w:val="24"/>
          <w:szCs w:val="24"/>
        </w:rPr>
      </w:pPr>
      <w:r>
        <w:rPr>
          <w:rFonts w:ascii="Times New Roman" w:hAnsi="Times New Roman" w:cs="Times New Roman"/>
          <w:sz w:val="24"/>
          <w:szCs w:val="24"/>
        </w:rPr>
        <w:t>根据</w:t>
      </w:r>
      <w:r>
        <w:rPr>
          <w:rFonts w:hint="eastAsia" w:ascii="Times New Roman" w:hAnsi="Times New Roman" w:cs="Times New Roman"/>
          <w:sz w:val="24"/>
          <w:szCs w:val="24"/>
        </w:rPr>
        <w:t>现场</w:t>
      </w:r>
      <w:r>
        <w:rPr>
          <w:rFonts w:ascii="Times New Roman" w:hAnsi="Times New Roman" w:cs="Times New Roman"/>
          <w:sz w:val="24"/>
          <w:szCs w:val="24"/>
        </w:rPr>
        <w:t>核查，</w:t>
      </w:r>
      <w:r>
        <w:rPr>
          <w:rFonts w:hint="eastAsia" w:ascii="Times New Roman" w:hAnsi="Times New Roman" w:cs="Times New Roman"/>
          <w:sz w:val="24"/>
          <w:szCs w:val="24"/>
        </w:rPr>
        <w:t>技改</w:t>
      </w:r>
      <w:r>
        <w:rPr>
          <w:rFonts w:ascii="Times New Roman" w:hAnsi="Times New Roman" w:cs="Times New Roman"/>
          <w:sz w:val="24"/>
          <w:szCs w:val="24"/>
        </w:rPr>
        <w:t>项目实际产能为</w:t>
      </w:r>
      <w:r>
        <w:rPr>
          <w:rFonts w:hint="eastAsia" w:ascii="Times New Roman" w:hAnsi="Times New Roman" w:cs="Times New Roman"/>
          <w:sz w:val="24"/>
          <w:szCs w:val="24"/>
        </w:rPr>
        <w:t>年产130万套铝制咖啡壶喷漆涂装产能</w:t>
      </w:r>
      <w:r>
        <w:rPr>
          <w:rFonts w:ascii="Times New Roman" w:hAnsi="Times New Roman" w:cs="Times New Roman"/>
          <w:sz w:val="24"/>
          <w:szCs w:val="24"/>
        </w:rPr>
        <w:t>，建设内容与环评一致生产、处置或储存能力</w:t>
      </w:r>
      <w:r>
        <w:rPr>
          <w:rFonts w:hint="eastAsia" w:ascii="Times New Roman" w:hAnsi="Times New Roman" w:cs="Times New Roman"/>
          <w:sz w:val="24"/>
          <w:szCs w:val="24"/>
        </w:rPr>
        <w:t>未发生变化，厂区平面布置未发生调整，</w:t>
      </w:r>
      <w:r>
        <w:rPr>
          <w:rFonts w:ascii="Times New Roman" w:hAnsi="Times New Roman" w:cs="Times New Roman"/>
          <w:sz w:val="24"/>
          <w:szCs w:val="24"/>
        </w:rPr>
        <w:t>废气、废水</w:t>
      </w:r>
      <w:r>
        <w:rPr>
          <w:rFonts w:hint="eastAsia" w:ascii="Times New Roman" w:hAnsi="Times New Roman" w:cs="Times New Roman"/>
          <w:sz w:val="24"/>
          <w:szCs w:val="24"/>
        </w:rPr>
        <w:t>、</w:t>
      </w:r>
      <w:r>
        <w:rPr>
          <w:rFonts w:ascii="Times New Roman" w:hAnsi="Times New Roman" w:cs="Times New Roman"/>
          <w:sz w:val="24"/>
          <w:szCs w:val="24"/>
        </w:rPr>
        <w:t>噪声污染防治措施</w:t>
      </w:r>
      <w:r>
        <w:rPr>
          <w:rFonts w:hint="eastAsia" w:ascii="Times New Roman" w:hAnsi="Times New Roman" w:cs="Times New Roman"/>
          <w:sz w:val="24"/>
          <w:szCs w:val="24"/>
        </w:rPr>
        <w:t>未发生</w:t>
      </w:r>
      <w:r>
        <w:rPr>
          <w:rFonts w:ascii="Times New Roman" w:hAnsi="Times New Roman" w:cs="Times New Roman"/>
          <w:sz w:val="24"/>
          <w:szCs w:val="24"/>
        </w:rPr>
        <w:t>变化</w:t>
      </w:r>
      <w:r>
        <w:rPr>
          <w:rFonts w:hint="eastAsia" w:ascii="Times New Roman" w:hAnsi="Times New Roman" w:cs="Times New Roman"/>
          <w:sz w:val="24"/>
          <w:szCs w:val="24"/>
        </w:rPr>
        <w:t>，</w:t>
      </w:r>
      <w:r>
        <w:rPr>
          <w:rFonts w:ascii="Times New Roman" w:hAnsi="Times New Roman" w:cs="Times New Roman"/>
          <w:sz w:val="24"/>
          <w:szCs w:val="24"/>
        </w:rPr>
        <w:t>固体废物利用处置方式</w:t>
      </w:r>
      <w:r>
        <w:rPr>
          <w:rFonts w:hint="eastAsia" w:ascii="Times New Roman" w:hAnsi="Times New Roman" w:cs="Times New Roman"/>
          <w:sz w:val="24"/>
          <w:szCs w:val="24"/>
        </w:rPr>
        <w:t>未发生变化，</w:t>
      </w:r>
      <w:r>
        <w:rPr>
          <w:rFonts w:ascii="Times New Roman" w:hAnsi="Times New Roman" w:cs="Times New Roman"/>
          <w:sz w:val="24"/>
          <w:szCs w:val="24"/>
        </w:rPr>
        <w:t>事故废水暂存能力或拦截设施</w:t>
      </w:r>
      <w:r>
        <w:rPr>
          <w:rFonts w:hint="eastAsia" w:ascii="Times New Roman" w:hAnsi="Times New Roman" w:cs="Times New Roman"/>
          <w:sz w:val="24"/>
          <w:szCs w:val="24"/>
        </w:rPr>
        <w:t>未发生</w:t>
      </w:r>
      <w:r>
        <w:rPr>
          <w:rFonts w:ascii="Times New Roman" w:hAnsi="Times New Roman" w:cs="Times New Roman"/>
          <w:sz w:val="24"/>
          <w:szCs w:val="24"/>
        </w:rPr>
        <w:t>变化</w:t>
      </w:r>
      <w:r>
        <w:rPr>
          <w:rFonts w:hint="eastAsia" w:ascii="Times New Roman" w:hAnsi="Times New Roman" w:cs="Times New Roman"/>
          <w:sz w:val="24"/>
          <w:szCs w:val="24"/>
        </w:rPr>
        <w:t>。</w:t>
      </w:r>
      <w:r>
        <w:rPr>
          <w:rFonts w:ascii="Times New Roman" w:hAnsi="Times New Roman" w:eastAsia="宋体" w:cs="Times New Roman"/>
          <w:color w:val="000000" w:themeColor="text1"/>
          <w:sz w:val="24"/>
          <w:szCs w:val="24"/>
        </w:rPr>
        <w:t>根据《污染影响类建设项目重大变动清单（试行）》的通知（环办环评函〔2020〕688号），本项目不存在重大变化。</w:t>
      </w:r>
    </w:p>
    <w:p w14:paraId="37772DFF">
      <w:pPr>
        <w:keepNext w:val="0"/>
        <w:keepLines w:val="0"/>
        <w:pageBreakBefore w:val="0"/>
        <w:kinsoku/>
        <w:wordWrap/>
        <w:overflowPunct/>
        <w:topLinePunct w:val="0"/>
        <w:bidi w:val="0"/>
        <w:adjustRightInd w:val="0"/>
        <w:snapToGrid w:val="0"/>
        <w:spacing w:line="336" w:lineRule="auto"/>
        <w:ind w:firstLine="482" w:firstLineChars="200"/>
        <w:textAlignment w:val="auto"/>
        <w:rPr>
          <w:rFonts w:ascii="Times New Roman" w:hAnsi="Times New Roman" w:eastAsia="宋体" w:cs="Times New Roman"/>
          <w:b/>
          <w:sz w:val="24"/>
          <w:szCs w:val="24"/>
        </w:rPr>
      </w:pPr>
      <w:r>
        <w:rPr>
          <w:rFonts w:ascii="Times New Roman" w:hAnsi="Times New Roman" w:eastAsia="宋体" w:cs="Times New Roman"/>
          <w:b/>
          <w:sz w:val="24"/>
          <w:szCs w:val="24"/>
        </w:rPr>
        <w:t>三、环境保护设施落实情况</w:t>
      </w:r>
    </w:p>
    <w:p w14:paraId="4AEF3827">
      <w:pPr>
        <w:pStyle w:val="20"/>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cs="Times New Roman"/>
          <w:color w:val="auto"/>
          <w:lang w:val="zh-CN"/>
        </w:rPr>
      </w:pPr>
      <w:r>
        <w:rPr>
          <w:rFonts w:hint="eastAsia" w:ascii="Times New Roman" w:hAnsi="Times New Roman" w:cs="Times New Roman"/>
          <w:color w:val="auto"/>
        </w:rPr>
        <w:t>1、</w:t>
      </w:r>
      <w:r>
        <w:rPr>
          <w:rFonts w:ascii="Times New Roman" w:hAnsi="Times New Roman" w:cs="Times New Roman"/>
          <w:color w:val="auto"/>
          <w:lang w:val="zh-CN"/>
        </w:rPr>
        <w:t>废水</w:t>
      </w:r>
    </w:p>
    <w:p w14:paraId="0A6FD7FC">
      <w:pPr>
        <w:keepNext w:val="0"/>
        <w:keepLines w:val="0"/>
        <w:pageBreakBefore w:val="0"/>
        <w:kinsoku/>
        <w:wordWrap/>
        <w:overflowPunct/>
        <w:topLinePunct w:val="0"/>
        <w:bidi w:val="0"/>
        <w:adjustRightInd w:val="0"/>
        <w:snapToGrid w:val="0"/>
        <w:spacing w:line="336" w:lineRule="auto"/>
        <w:ind w:firstLine="480" w:firstLineChars="200"/>
        <w:jc w:val="left"/>
        <w:textAlignment w:val="auto"/>
        <w:rPr>
          <w:rFonts w:ascii="Times New Roman" w:hAnsi="Times New Roman" w:eastAsia="宋体" w:cs="Times New Roman"/>
          <w:sz w:val="24"/>
          <w:szCs w:val="24"/>
          <w:lang w:bidi="zh-CN"/>
        </w:rPr>
      </w:pPr>
      <w:r>
        <w:rPr>
          <w:rFonts w:ascii="Times New Roman" w:hAnsi="Times New Roman" w:cs="Times New Roman"/>
          <w:sz w:val="24"/>
        </w:rPr>
        <w:t>厂区排水实行雨污分流；雨水收集后排入市政雨水管网；项目抛光喷淋水循环使用，定期捞渣补充新水，不外排。项目生产废水经格栅、调节、混凝沉淀等处理后与经化粪池处理后的生活污水分别达标后纳管处置</w:t>
      </w:r>
      <w:r>
        <w:rPr>
          <w:rFonts w:ascii="Times New Roman" w:hAnsi="Times New Roman" w:eastAsia="宋体" w:cs="Times New Roman"/>
          <w:sz w:val="24"/>
          <w:szCs w:val="24"/>
          <w:lang w:bidi="zh-CN"/>
        </w:rPr>
        <w:t>。</w:t>
      </w:r>
    </w:p>
    <w:p w14:paraId="4B34807D">
      <w:pPr>
        <w:pStyle w:val="20"/>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cs="Times New Roman"/>
          <w:color w:val="auto"/>
          <w:lang w:val="zh-CN"/>
        </w:rPr>
      </w:pPr>
      <w:r>
        <w:rPr>
          <w:rFonts w:hint="eastAsia" w:ascii="Times New Roman" w:hAnsi="Times New Roman" w:cs="Times New Roman"/>
          <w:color w:val="auto"/>
          <w:lang w:val="zh-CN"/>
        </w:rPr>
        <w:t>2、</w:t>
      </w:r>
      <w:r>
        <w:rPr>
          <w:rFonts w:ascii="Times New Roman" w:hAnsi="Times New Roman" w:cs="Times New Roman"/>
          <w:color w:val="auto"/>
          <w:lang w:val="zh-CN"/>
        </w:rPr>
        <w:t>废气</w:t>
      </w:r>
    </w:p>
    <w:p w14:paraId="0A0D4489">
      <w:pPr>
        <w:pStyle w:val="20"/>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cs="Times New Roman"/>
          <w:color w:val="auto"/>
        </w:rPr>
      </w:pPr>
      <w:r>
        <w:rPr>
          <w:rFonts w:hint="eastAsia" w:ascii="Times New Roman" w:hAnsi="Times New Roman" w:cs="Times New Roman"/>
        </w:rPr>
        <w:t>本项目废气主要为</w:t>
      </w:r>
      <w:r>
        <w:rPr>
          <w:rFonts w:ascii="Times New Roman" w:hAnsi="Times New Roman" w:cs="Times New Roman"/>
        </w:rPr>
        <w:t>熔化压铸工序废气</w:t>
      </w:r>
      <w:r>
        <w:rPr>
          <w:rFonts w:hint="eastAsia" w:ascii="Times New Roman" w:hAnsi="Times New Roman" w:cs="Times New Roman"/>
        </w:rPr>
        <w:t>、</w:t>
      </w:r>
      <w:r>
        <w:rPr>
          <w:rFonts w:hint="eastAsia" w:ascii="Times New Roman" w:hAnsi="Times New Roman" w:cs="Times New Roman"/>
          <w:color w:val="auto"/>
        </w:rPr>
        <w:t>1#抛光线</w:t>
      </w:r>
      <w:r>
        <w:rPr>
          <w:rFonts w:hint="eastAsia" w:ascii="Times New Roman" w:hAnsi="Times New Roman" w:cs="Times New Roman"/>
        </w:rPr>
        <w:t>抛光工序废气、酸洗工序废气、</w:t>
      </w:r>
      <w:r>
        <w:rPr>
          <w:rFonts w:ascii="Times New Roman" w:hAnsi="Times New Roman" w:cs="Times New Roman"/>
        </w:rPr>
        <w:t>涂装工序废气（调漆、喷漆、流平、烘干）废气</w:t>
      </w:r>
      <w:r>
        <w:rPr>
          <w:rFonts w:hint="eastAsia" w:ascii="Times New Roman" w:hAnsi="Times New Roman" w:cs="Times New Roman"/>
        </w:rPr>
        <w:t>、焊接烟尘</w:t>
      </w:r>
      <w:r>
        <w:rPr>
          <w:rFonts w:ascii="Times New Roman" w:hAnsi="Times New Roman" w:cs="Times New Roman"/>
          <w:color w:val="auto"/>
        </w:rPr>
        <w:t>。</w:t>
      </w:r>
    </w:p>
    <w:p w14:paraId="7C62C71B">
      <w:pPr>
        <w:pStyle w:val="20"/>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cs="Times New Roman"/>
          <w:color w:val="auto"/>
        </w:rPr>
      </w:pPr>
      <w:r>
        <w:rPr>
          <w:rFonts w:hint="eastAsia" w:ascii="Times New Roman" w:hAnsi="Times New Roman" w:cs="Times New Roman"/>
          <w:color w:val="auto"/>
        </w:rPr>
        <w:t>（1） 熔化、压铸工序废气集气后经水喷淋除尘处理后于15m排气筒（DA001）高空排放；</w:t>
      </w:r>
    </w:p>
    <w:p w14:paraId="325C8755">
      <w:pPr>
        <w:pStyle w:val="20"/>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cs="Times New Roman"/>
          <w:color w:val="auto"/>
        </w:rPr>
      </w:pPr>
      <w:r>
        <w:rPr>
          <w:rFonts w:hint="eastAsia" w:ascii="Times New Roman" w:hAnsi="Times New Roman" w:cs="Times New Roman"/>
          <w:color w:val="auto"/>
        </w:rPr>
        <w:t>（2） 1#抛光线抛光工序废气集气后经水喷淋处理后于15m排气筒（DA002）高空排放；</w:t>
      </w:r>
    </w:p>
    <w:p w14:paraId="27182B9C">
      <w:pPr>
        <w:pStyle w:val="20"/>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cs="Times New Roman"/>
          <w:color w:val="auto"/>
        </w:rPr>
      </w:pPr>
      <w:r>
        <w:rPr>
          <w:rFonts w:hint="eastAsia" w:ascii="Times New Roman" w:hAnsi="Times New Roman" w:cs="Times New Roman"/>
          <w:color w:val="auto"/>
        </w:rPr>
        <w:t>（3）酸洗废气经侧面吸风集气后经碱喷淋处理后于15m排气筒（DA003）高空排放；</w:t>
      </w:r>
    </w:p>
    <w:p w14:paraId="39246148">
      <w:pPr>
        <w:pStyle w:val="20"/>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cs="Times New Roman"/>
        </w:rPr>
      </w:pPr>
      <w:r>
        <w:rPr>
          <w:rFonts w:hint="eastAsia" w:ascii="Times New Roman" w:hAnsi="Times New Roman" w:cs="Times New Roman"/>
          <w:color w:val="auto"/>
        </w:rPr>
        <w:t>（4）涂装工序废气（</w:t>
      </w:r>
      <w:r>
        <w:rPr>
          <w:rFonts w:hint="eastAsia" w:ascii="Times New Roman" w:hAnsi="Times New Roman" w:cs="Times New Roman"/>
        </w:rPr>
        <w:t>调漆、喷漆、流平、烘干）分别集气后经水帘除漆雾+旋流塔+干式过滤+活性炭吸附/脱附+催化燃烧处理后于15m排气筒（DA004）高空排放；</w:t>
      </w:r>
    </w:p>
    <w:p w14:paraId="6A13980A">
      <w:pPr>
        <w:pStyle w:val="20"/>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cs="Times New Roman"/>
        </w:rPr>
      </w:pPr>
      <w:r>
        <w:rPr>
          <w:rFonts w:hint="eastAsia" w:ascii="Times New Roman" w:hAnsi="Times New Roman" w:cs="Times New Roman"/>
        </w:rPr>
        <w:t>（5）焊接烟尘呈无组织排放，加强车间通风。</w:t>
      </w:r>
    </w:p>
    <w:p w14:paraId="65826AC5">
      <w:pPr>
        <w:pStyle w:val="20"/>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cs="Times New Roman"/>
          <w:color w:val="auto"/>
          <w:kern w:val="22"/>
          <w:lang w:val="zh-CN"/>
        </w:rPr>
      </w:pPr>
      <w:r>
        <w:rPr>
          <w:rFonts w:hint="eastAsia" w:ascii="Times New Roman" w:hAnsi="Times New Roman" w:cs="Times New Roman"/>
          <w:color w:val="auto"/>
          <w:kern w:val="22"/>
          <w:lang w:val="zh-CN"/>
        </w:rPr>
        <w:t>3、</w:t>
      </w:r>
      <w:r>
        <w:rPr>
          <w:rFonts w:ascii="Times New Roman" w:hAnsi="Times New Roman" w:cs="Times New Roman"/>
          <w:color w:val="auto"/>
          <w:kern w:val="22"/>
          <w:lang w:val="zh-CN"/>
        </w:rPr>
        <w:t>噪声</w:t>
      </w:r>
    </w:p>
    <w:p w14:paraId="67E0B5D5">
      <w:pPr>
        <w:pStyle w:val="20"/>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cs="Times New Roman"/>
          <w:color w:val="auto"/>
        </w:rPr>
      </w:pPr>
      <w:r>
        <w:rPr>
          <w:rFonts w:ascii="Times New Roman" w:hAnsi="Times New Roman" w:cs="Times New Roman"/>
          <w:color w:val="auto"/>
        </w:rPr>
        <w:t>本项目对高噪声设备采取防震、降噪措施；选用低噪声设备；平时加强设备的维护，确保设备处于良好的运转状态，杜绝因设备不正常运转时产生的高噪声现象。</w:t>
      </w:r>
    </w:p>
    <w:p w14:paraId="680649CA">
      <w:pPr>
        <w:pStyle w:val="20"/>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cs="Times New Roman"/>
          <w:color w:val="auto"/>
          <w:lang w:val="zh-CN"/>
        </w:rPr>
      </w:pPr>
      <w:r>
        <w:rPr>
          <w:rFonts w:hint="eastAsia" w:ascii="Times New Roman" w:hAnsi="Times New Roman" w:cs="Times New Roman"/>
          <w:color w:val="auto"/>
          <w:lang w:val="zh-CN"/>
        </w:rPr>
        <w:t>4、</w:t>
      </w:r>
      <w:r>
        <w:rPr>
          <w:rFonts w:ascii="Times New Roman" w:hAnsi="Times New Roman" w:cs="Times New Roman"/>
          <w:color w:val="auto"/>
          <w:lang w:val="zh-CN"/>
        </w:rPr>
        <w:t>固废</w:t>
      </w:r>
    </w:p>
    <w:p w14:paraId="0CDAB424">
      <w:pPr>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eastAsia="宋体" w:cs="Times New Roman"/>
          <w:kern w:val="0"/>
          <w:sz w:val="24"/>
          <w:szCs w:val="24"/>
        </w:rPr>
      </w:pPr>
      <w:r>
        <w:rPr>
          <w:rFonts w:ascii="Times New Roman" w:hAnsi="Times New Roman" w:eastAsia="宋体" w:cs="Times New Roman"/>
          <w:color w:val="000000"/>
          <w:sz w:val="24"/>
          <w:szCs w:val="24"/>
        </w:rPr>
        <w:t>危险废物：厂房设置</w:t>
      </w:r>
      <w:r>
        <w:rPr>
          <w:rFonts w:hint="eastAsia" w:ascii="Times New Roman" w:hAnsi="Times New Roman" w:eastAsia="宋体" w:cs="Times New Roman"/>
          <w:color w:val="000000"/>
          <w:sz w:val="24"/>
          <w:szCs w:val="24"/>
        </w:rPr>
        <w:t>有两个</w:t>
      </w:r>
      <w:r>
        <w:rPr>
          <w:rFonts w:ascii="Times New Roman" w:hAnsi="Times New Roman" w:eastAsia="宋体" w:cs="Times New Roman"/>
          <w:color w:val="000000"/>
          <w:sz w:val="24"/>
          <w:szCs w:val="24"/>
        </w:rPr>
        <w:t>危废仓库，位于1#车间1F南侧（面积为10m</w:t>
      </w:r>
      <w:r>
        <w:rPr>
          <w:rFonts w:ascii="Times New Roman" w:hAnsi="Times New Roman" w:eastAsia="宋体" w:cs="Times New Roman"/>
          <w:color w:val="000000"/>
          <w:sz w:val="24"/>
          <w:szCs w:val="24"/>
          <w:vertAlign w:val="superscript"/>
        </w:rPr>
        <w:t>2</w:t>
      </w:r>
      <w:r>
        <w:rPr>
          <w:rFonts w:ascii="Times New Roman" w:hAnsi="Times New Roman" w:eastAsia="宋体" w:cs="Times New Roman"/>
          <w:color w:val="000000"/>
          <w:sz w:val="24"/>
          <w:szCs w:val="24"/>
        </w:rPr>
        <w:t>）和1#车间1F西侧夹层（面积为20m</w:t>
      </w:r>
      <w:r>
        <w:rPr>
          <w:rFonts w:ascii="Times New Roman" w:hAnsi="Times New Roman" w:eastAsia="宋体" w:cs="Times New Roman"/>
          <w:color w:val="000000"/>
          <w:sz w:val="24"/>
          <w:szCs w:val="24"/>
          <w:vertAlign w:val="superscript"/>
        </w:rPr>
        <w:t>2</w:t>
      </w:r>
      <w:r>
        <w:rPr>
          <w:rFonts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rPr>
        <w:t>，</w:t>
      </w:r>
      <w:r>
        <w:rPr>
          <w:rFonts w:ascii="Times New Roman" w:hAnsi="Times New Roman" w:eastAsia="宋体" w:cs="Times New Roman"/>
          <w:color w:val="000000"/>
          <w:sz w:val="24"/>
          <w:szCs w:val="24"/>
        </w:rPr>
        <w:t>铝灰渣</w:t>
      </w:r>
      <w:r>
        <w:rPr>
          <w:rFonts w:hint="eastAsia" w:ascii="Times New Roman" w:hAnsi="Times New Roman" w:eastAsia="宋体" w:cs="Times New Roman"/>
          <w:color w:val="000000"/>
          <w:sz w:val="24"/>
          <w:szCs w:val="24"/>
        </w:rPr>
        <w:t>收集后定期委托</w:t>
      </w:r>
      <w:r>
        <w:rPr>
          <w:rFonts w:ascii="Times New Roman" w:hAnsi="Times New Roman" w:eastAsia="宋体" w:cs="Times New Roman"/>
          <w:color w:val="000000"/>
          <w:sz w:val="24"/>
          <w:szCs w:val="24"/>
        </w:rPr>
        <w:t>浙江硕博再生资源有限公司</w:t>
      </w:r>
      <w:r>
        <w:rPr>
          <w:rFonts w:hint="eastAsia" w:ascii="Times New Roman" w:hAnsi="Times New Roman" w:eastAsia="宋体" w:cs="Times New Roman"/>
          <w:color w:val="000000"/>
          <w:sz w:val="24"/>
          <w:szCs w:val="24"/>
        </w:rPr>
        <w:t>处置；</w:t>
      </w:r>
      <w:r>
        <w:rPr>
          <w:rFonts w:ascii="Times New Roman" w:hAnsi="Times New Roman" w:eastAsia="宋体" w:cs="Times New Roman"/>
          <w:color w:val="000000"/>
          <w:sz w:val="24"/>
          <w:szCs w:val="24"/>
        </w:rPr>
        <w:t>熔铸沉渣</w:t>
      </w:r>
      <w:r>
        <w:rPr>
          <w:rFonts w:hint="eastAsia" w:ascii="Times New Roman" w:hAnsi="Times New Roman" w:eastAsia="宋体" w:cs="Times New Roman"/>
          <w:color w:val="000000"/>
          <w:sz w:val="24"/>
          <w:szCs w:val="24"/>
        </w:rPr>
        <w:t>、</w:t>
      </w:r>
      <w:r>
        <w:rPr>
          <w:rFonts w:ascii="Times New Roman" w:hAnsi="Times New Roman" w:eastAsia="宋体" w:cs="Times New Roman"/>
          <w:color w:val="000000"/>
          <w:sz w:val="24"/>
          <w:szCs w:val="24"/>
        </w:rPr>
        <w:t>废酸</w:t>
      </w:r>
      <w:r>
        <w:rPr>
          <w:rFonts w:hint="eastAsia" w:ascii="Times New Roman" w:hAnsi="Times New Roman" w:eastAsia="宋体" w:cs="Times New Roman"/>
          <w:color w:val="000000"/>
          <w:sz w:val="24"/>
          <w:szCs w:val="24"/>
        </w:rPr>
        <w:t>、</w:t>
      </w:r>
      <w:r>
        <w:rPr>
          <w:rFonts w:ascii="Times New Roman" w:hAnsi="Times New Roman" w:eastAsia="宋体" w:cs="Times New Roman"/>
          <w:color w:val="000000"/>
          <w:sz w:val="24"/>
          <w:szCs w:val="24"/>
        </w:rPr>
        <w:t>漆渣</w:t>
      </w:r>
      <w:r>
        <w:rPr>
          <w:rFonts w:hint="eastAsia" w:ascii="Times New Roman" w:hAnsi="Times New Roman" w:eastAsia="宋体" w:cs="Times New Roman"/>
          <w:color w:val="000000"/>
          <w:sz w:val="24"/>
          <w:szCs w:val="24"/>
        </w:rPr>
        <w:t>、</w:t>
      </w:r>
      <w:r>
        <w:rPr>
          <w:rFonts w:ascii="Times New Roman" w:hAnsi="Times New Roman" w:eastAsia="宋体" w:cs="Times New Roman"/>
          <w:color w:val="000000"/>
          <w:sz w:val="24"/>
          <w:szCs w:val="24"/>
        </w:rPr>
        <w:t>污泥</w:t>
      </w:r>
      <w:r>
        <w:rPr>
          <w:rFonts w:hint="eastAsia" w:ascii="Times New Roman" w:hAnsi="Times New Roman" w:eastAsia="宋体" w:cs="Times New Roman"/>
          <w:color w:val="000000"/>
          <w:sz w:val="24"/>
          <w:szCs w:val="24"/>
        </w:rPr>
        <w:t>、</w:t>
      </w:r>
      <w:r>
        <w:rPr>
          <w:rFonts w:ascii="Times New Roman" w:hAnsi="Times New Roman" w:eastAsia="宋体" w:cs="Times New Roman"/>
          <w:color w:val="000000"/>
          <w:sz w:val="24"/>
          <w:szCs w:val="24"/>
        </w:rPr>
        <w:t>废过滤棉</w:t>
      </w:r>
      <w:r>
        <w:rPr>
          <w:rFonts w:hint="eastAsia" w:ascii="Times New Roman" w:hAnsi="Times New Roman" w:eastAsia="宋体" w:cs="Times New Roman"/>
          <w:color w:val="000000"/>
          <w:sz w:val="24"/>
          <w:szCs w:val="24"/>
        </w:rPr>
        <w:t>、</w:t>
      </w:r>
      <w:r>
        <w:rPr>
          <w:rFonts w:ascii="Times New Roman" w:hAnsi="Times New Roman" w:eastAsia="宋体" w:cs="Times New Roman"/>
          <w:color w:val="000000"/>
          <w:sz w:val="24"/>
          <w:szCs w:val="24"/>
        </w:rPr>
        <w:t>废活性炭</w:t>
      </w:r>
      <w:r>
        <w:rPr>
          <w:rFonts w:hint="eastAsia" w:ascii="Times New Roman" w:hAnsi="Times New Roman" w:eastAsia="宋体" w:cs="Times New Roman"/>
          <w:color w:val="000000"/>
          <w:sz w:val="24"/>
          <w:szCs w:val="24"/>
        </w:rPr>
        <w:t>、</w:t>
      </w:r>
      <w:r>
        <w:rPr>
          <w:rFonts w:ascii="Times New Roman" w:hAnsi="Times New Roman" w:eastAsia="宋体" w:cs="Times New Roman"/>
          <w:color w:val="000000"/>
          <w:sz w:val="24"/>
          <w:szCs w:val="24"/>
        </w:rPr>
        <w:t>废催化剂</w:t>
      </w:r>
      <w:r>
        <w:rPr>
          <w:rFonts w:hint="eastAsia" w:ascii="Times New Roman" w:hAnsi="Times New Roman" w:eastAsia="宋体" w:cs="Times New Roman"/>
          <w:color w:val="000000"/>
          <w:sz w:val="24"/>
          <w:szCs w:val="24"/>
        </w:rPr>
        <w:t>、</w:t>
      </w:r>
      <w:r>
        <w:rPr>
          <w:rFonts w:ascii="Times New Roman" w:hAnsi="Times New Roman" w:eastAsia="宋体" w:cs="Times New Roman"/>
          <w:color w:val="000000"/>
          <w:sz w:val="24"/>
          <w:szCs w:val="24"/>
        </w:rPr>
        <w:t>废润滑油</w:t>
      </w:r>
      <w:r>
        <w:rPr>
          <w:rFonts w:hint="eastAsia" w:ascii="Times New Roman" w:hAnsi="Times New Roman" w:eastAsia="宋体" w:cs="Times New Roman"/>
          <w:color w:val="000000"/>
          <w:sz w:val="24"/>
          <w:szCs w:val="24"/>
        </w:rPr>
        <w:t>、</w:t>
      </w:r>
      <w:r>
        <w:rPr>
          <w:rFonts w:ascii="Times New Roman" w:hAnsi="Times New Roman" w:eastAsia="宋体" w:cs="Times New Roman"/>
          <w:color w:val="000000"/>
          <w:sz w:val="24"/>
          <w:szCs w:val="24"/>
        </w:rPr>
        <w:t>废油桶</w:t>
      </w:r>
      <w:r>
        <w:rPr>
          <w:rFonts w:hint="eastAsia" w:ascii="Times New Roman" w:hAnsi="Times New Roman" w:eastAsia="宋体" w:cs="Times New Roman"/>
          <w:color w:val="000000"/>
          <w:sz w:val="24"/>
          <w:szCs w:val="24"/>
        </w:rPr>
        <w:t>、</w:t>
      </w:r>
      <w:r>
        <w:rPr>
          <w:rFonts w:ascii="Times New Roman" w:hAnsi="Times New Roman" w:eastAsia="宋体" w:cs="Times New Roman"/>
          <w:color w:val="000000"/>
          <w:sz w:val="24"/>
          <w:szCs w:val="24"/>
        </w:rPr>
        <w:t>危险废包装物</w:t>
      </w:r>
      <w:r>
        <w:rPr>
          <w:rFonts w:hint="eastAsia" w:ascii="Times New Roman" w:hAnsi="Times New Roman" w:eastAsia="宋体" w:cs="Times New Roman"/>
          <w:color w:val="000000"/>
          <w:sz w:val="24"/>
          <w:szCs w:val="24"/>
        </w:rPr>
        <w:t>、</w:t>
      </w:r>
      <w:r>
        <w:rPr>
          <w:rFonts w:ascii="Times New Roman" w:hAnsi="Times New Roman" w:eastAsia="宋体" w:cs="Times New Roman"/>
          <w:color w:val="000000"/>
          <w:sz w:val="24"/>
          <w:szCs w:val="24"/>
        </w:rPr>
        <w:t>含油废抹布</w:t>
      </w:r>
      <w:r>
        <w:rPr>
          <w:rFonts w:hint="eastAsia" w:ascii="Times New Roman" w:hAnsi="Times New Roman" w:eastAsia="宋体" w:cs="Times New Roman"/>
          <w:color w:val="000000"/>
          <w:sz w:val="24"/>
          <w:szCs w:val="24"/>
        </w:rPr>
        <w:t>分类收集后</w:t>
      </w:r>
      <w:r>
        <w:rPr>
          <w:rFonts w:ascii="Times New Roman" w:hAnsi="Times New Roman" w:eastAsia="宋体" w:cs="Times New Roman"/>
          <w:color w:val="000000"/>
          <w:sz w:val="24"/>
          <w:szCs w:val="24"/>
        </w:rPr>
        <w:t>定期委托台州市德长环保有限公司处置</w:t>
      </w:r>
      <w:r>
        <w:rPr>
          <w:rFonts w:ascii="Times New Roman" w:hAnsi="Times New Roman" w:eastAsia="宋体" w:cs="Times New Roman"/>
          <w:kern w:val="0"/>
          <w:sz w:val="24"/>
          <w:szCs w:val="24"/>
        </w:rPr>
        <w:t>。</w:t>
      </w:r>
    </w:p>
    <w:p w14:paraId="56B0F3BA">
      <w:pPr>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eastAsia="宋体" w:cs="Times New Roman"/>
          <w:kern w:val="0"/>
          <w:sz w:val="24"/>
          <w:szCs w:val="24"/>
        </w:rPr>
      </w:pPr>
      <w:r>
        <w:rPr>
          <w:rFonts w:ascii="Times New Roman" w:hAnsi="Times New Roman" w:eastAsia="宋体" w:cs="Times New Roman"/>
          <w:color w:val="000000"/>
          <w:sz w:val="24"/>
          <w:szCs w:val="24"/>
        </w:rPr>
        <w:t>一般固废：设置一般固废暂存仓库，位于1#车间1F西侧，面积约为20m</w:t>
      </w:r>
      <w:r>
        <w:rPr>
          <w:rFonts w:ascii="Times New Roman" w:hAnsi="Times New Roman" w:eastAsia="宋体" w:cs="Times New Roman"/>
          <w:color w:val="000000"/>
          <w:sz w:val="24"/>
          <w:szCs w:val="24"/>
          <w:vertAlign w:val="superscript"/>
        </w:rPr>
        <w:t>2</w:t>
      </w:r>
      <w:r>
        <w:rPr>
          <w:rFonts w:ascii="Times New Roman" w:hAnsi="Times New Roman" w:eastAsia="宋体" w:cs="Times New Roman"/>
          <w:color w:val="000000"/>
          <w:sz w:val="24"/>
          <w:szCs w:val="24"/>
        </w:rPr>
        <w:t>，金属边角料</w:t>
      </w:r>
      <w:r>
        <w:rPr>
          <w:rFonts w:hint="eastAsia" w:ascii="Times New Roman" w:hAnsi="Times New Roman" w:eastAsia="宋体" w:cs="Times New Roman"/>
          <w:color w:val="000000"/>
          <w:sz w:val="24"/>
          <w:szCs w:val="24"/>
        </w:rPr>
        <w:t>、</w:t>
      </w:r>
      <w:r>
        <w:rPr>
          <w:rFonts w:ascii="Times New Roman" w:hAnsi="Times New Roman" w:eastAsia="宋体" w:cs="Times New Roman"/>
          <w:color w:val="000000"/>
          <w:sz w:val="24"/>
          <w:szCs w:val="24"/>
        </w:rPr>
        <w:t>抛光沉渣</w:t>
      </w:r>
      <w:r>
        <w:rPr>
          <w:rFonts w:hint="eastAsia" w:ascii="Times New Roman" w:hAnsi="Times New Roman" w:eastAsia="宋体" w:cs="Times New Roman"/>
          <w:color w:val="000000"/>
          <w:sz w:val="24"/>
          <w:szCs w:val="24"/>
        </w:rPr>
        <w:t>、</w:t>
      </w:r>
      <w:r>
        <w:rPr>
          <w:rFonts w:ascii="Times New Roman" w:hAnsi="Times New Roman" w:eastAsia="宋体" w:cs="Times New Roman"/>
          <w:color w:val="000000"/>
          <w:sz w:val="24"/>
          <w:szCs w:val="24"/>
        </w:rPr>
        <w:t>废砂带</w:t>
      </w:r>
      <w:r>
        <w:rPr>
          <w:rFonts w:hint="eastAsia" w:ascii="Times New Roman" w:hAnsi="Times New Roman" w:eastAsia="宋体" w:cs="Times New Roman"/>
          <w:color w:val="000000"/>
          <w:sz w:val="24"/>
          <w:szCs w:val="24"/>
        </w:rPr>
        <w:t>、</w:t>
      </w:r>
      <w:r>
        <w:rPr>
          <w:rFonts w:ascii="Times New Roman" w:hAnsi="Times New Roman" w:eastAsia="宋体" w:cs="Times New Roman"/>
          <w:color w:val="000000"/>
          <w:sz w:val="24"/>
          <w:szCs w:val="24"/>
        </w:rPr>
        <w:t>一般废包装物定期外售给物资单位</w:t>
      </w:r>
      <w:r>
        <w:rPr>
          <w:rFonts w:ascii="Times New Roman" w:hAnsi="Times New Roman" w:eastAsia="宋体" w:cs="Times New Roman"/>
          <w:kern w:val="0"/>
          <w:sz w:val="24"/>
          <w:szCs w:val="24"/>
        </w:rPr>
        <w:t>。</w:t>
      </w:r>
    </w:p>
    <w:p w14:paraId="0ADAFFD2">
      <w:pPr>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eastAsia="宋体" w:cs="Times New Roman"/>
          <w:kern w:val="0"/>
          <w:sz w:val="24"/>
          <w:szCs w:val="24"/>
        </w:rPr>
      </w:pPr>
      <w:r>
        <w:rPr>
          <w:rFonts w:ascii="Times New Roman" w:hAnsi="Times New Roman" w:eastAsia="宋体" w:cs="Times New Roman"/>
          <w:kern w:val="0"/>
          <w:sz w:val="24"/>
          <w:szCs w:val="24"/>
        </w:rPr>
        <w:t>生活垃圾：依托生活垃圾桶，委托环卫部门处置。</w:t>
      </w:r>
    </w:p>
    <w:p w14:paraId="675A3770">
      <w:pPr>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5、其他</w:t>
      </w:r>
    </w:p>
    <w:p w14:paraId="3076E4CD">
      <w:pPr>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(1)在线监测装置</w:t>
      </w:r>
    </w:p>
    <w:p w14:paraId="1F2AD727">
      <w:pPr>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无在线监测装置。</w:t>
      </w:r>
    </w:p>
    <w:p w14:paraId="28D07DBA">
      <w:pPr>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(2)环境防护距离</w:t>
      </w:r>
    </w:p>
    <w:p w14:paraId="0156A219">
      <w:pPr>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根据环评及环评批复，无相应大气环境防护距离。</w:t>
      </w:r>
    </w:p>
    <w:p w14:paraId="0B4A84EE">
      <w:pPr>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(3)其他</w:t>
      </w:r>
    </w:p>
    <w:p w14:paraId="1A4ADA56">
      <w:pPr>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企业已建有环境保护领导小组，负责环境保护管理工作；配备了环保专职人员，专职负责对公司环保设施的运行和维护；公司已制定了各类环保管理制度。</w:t>
      </w:r>
    </w:p>
    <w:p w14:paraId="5165B4C1">
      <w:pPr>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eastAsia="宋体" w:cs="Times New Roman"/>
          <w:sz w:val="24"/>
          <w:szCs w:val="24"/>
        </w:rPr>
      </w:pPr>
      <w:r>
        <w:rPr>
          <w:rFonts w:hint="eastAsia" w:ascii="Times New Roman" w:hAnsi="Times New Roman"/>
          <w:sz w:val="24"/>
          <w:szCs w:val="24"/>
          <w:lang w:bidi="en-US"/>
        </w:rPr>
        <w:t>本次改建项目对铝制咖啡壶生产线进行设备升级，技改完成后现有项目调整所减少的废水、废气、固废污染源强，作为“以新带老”进行削减</w:t>
      </w:r>
      <w:r>
        <w:rPr>
          <w:rFonts w:ascii="Times New Roman" w:hAnsi="Times New Roman" w:eastAsia="宋体" w:cs="Times New Roman"/>
          <w:sz w:val="24"/>
          <w:szCs w:val="24"/>
        </w:rPr>
        <w:t>。</w:t>
      </w:r>
    </w:p>
    <w:p w14:paraId="29F96F21">
      <w:pPr>
        <w:keepNext w:val="0"/>
        <w:keepLines w:val="0"/>
        <w:pageBreakBefore w:val="0"/>
        <w:kinsoku/>
        <w:wordWrap/>
        <w:overflowPunct/>
        <w:topLinePunct w:val="0"/>
        <w:bidi w:val="0"/>
        <w:adjustRightInd w:val="0"/>
        <w:snapToGrid w:val="0"/>
        <w:spacing w:line="336" w:lineRule="auto"/>
        <w:ind w:firstLine="482" w:firstLineChars="200"/>
        <w:textAlignment w:val="auto"/>
        <w:rPr>
          <w:rFonts w:ascii="Times New Roman" w:hAnsi="Times New Roman" w:eastAsia="宋体" w:cs="Times New Roman"/>
          <w:b/>
          <w:sz w:val="24"/>
          <w:szCs w:val="24"/>
        </w:rPr>
      </w:pPr>
      <w:r>
        <w:rPr>
          <w:rFonts w:ascii="Times New Roman" w:hAnsi="Times New Roman" w:eastAsia="宋体" w:cs="Times New Roman"/>
          <w:b/>
          <w:sz w:val="24"/>
          <w:szCs w:val="24"/>
        </w:rPr>
        <w:t>四、环境保护设施调试效果</w:t>
      </w:r>
    </w:p>
    <w:p w14:paraId="17B9B7CC">
      <w:pPr>
        <w:pStyle w:val="20"/>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cs="Times New Roman"/>
          <w:color w:val="auto"/>
        </w:rPr>
      </w:pPr>
      <w:r>
        <w:rPr>
          <w:rFonts w:ascii="Times New Roman" w:hAnsi="Times New Roman" w:cs="Times New Roman"/>
          <w:color w:val="auto"/>
        </w:rPr>
        <w:t>2025年3月10日-11日</w:t>
      </w:r>
      <w:r>
        <w:rPr>
          <w:rFonts w:hint="eastAsia" w:ascii="Times New Roman" w:hAnsi="Times New Roman" w:cs="Times New Roman"/>
          <w:color w:val="auto"/>
        </w:rPr>
        <w:t>，</w:t>
      </w:r>
      <w:r>
        <w:rPr>
          <w:rFonts w:ascii="Times New Roman" w:hAnsi="Times New Roman" w:cs="Times New Roman"/>
          <w:color w:val="auto"/>
        </w:rPr>
        <w:t>浙江高鑫安全检测科技有限公司对</w:t>
      </w:r>
      <w:r>
        <w:rPr>
          <w:rFonts w:hint="eastAsia" w:ascii="Times New Roman" w:hAnsi="Times New Roman" w:cs="Times New Roman"/>
          <w:color w:val="auto"/>
        </w:rPr>
        <w:t>本项目废气、废水、厂界噪声进行了现场监测</w:t>
      </w:r>
      <w:r>
        <w:rPr>
          <w:rFonts w:ascii="Times New Roman" w:hAnsi="Times New Roman" w:cs="Times New Roman"/>
          <w:color w:val="auto"/>
        </w:rPr>
        <w:t>。监测期间，本项目的生产设备和污染治理设施运行基本正常，生产工况负荷大于75%，符合验收监测要求</w:t>
      </w:r>
      <w:r>
        <w:rPr>
          <w:rFonts w:hint="eastAsia" w:ascii="Times New Roman" w:hAnsi="Times New Roman" w:cs="Times New Roman"/>
          <w:color w:val="auto"/>
        </w:rPr>
        <w:t>。</w:t>
      </w:r>
      <w:r>
        <w:rPr>
          <w:rFonts w:ascii="Times New Roman" w:hAnsi="Times New Roman" w:cs="Times New Roman"/>
          <w:color w:val="auto"/>
        </w:rPr>
        <w:t>根据浙江高鑫安全检测科技有限公司《检测报告》（高鑫（验）字20250306）验收监测结论如下</w:t>
      </w:r>
      <w:r>
        <w:rPr>
          <w:rFonts w:hint="eastAsia" w:ascii="Times New Roman" w:hAnsi="Times New Roman" w:cs="Times New Roman"/>
          <w:color w:val="auto"/>
        </w:rPr>
        <w:t>：</w:t>
      </w:r>
    </w:p>
    <w:p w14:paraId="2C4FA8B7">
      <w:pPr>
        <w:pStyle w:val="20"/>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cs="Times New Roman"/>
          <w:color w:val="auto"/>
        </w:rPr>
      </w:pPr>
      <w:r>
        <w:rPr>
          <w:rFonts w:hint="eastAsia" w:ascii="Times New Roman" w:hAnsi="Times New Roman" w:cs="Times New Roman"/>
          <w:color w:val="auto"/>
        </w:rPr>
        <w:t>1、</w:t>
      </w:r>
      <w:r>
        <w:rPr>
          <w:rFonts w:ascii="Times New Roman" w:hAnsi="Times New Roman" w:cs="Times New Roman"/>
          <w:color w:val="auto"/>
        </w:rPr>
        <w:t>废水监测结论</w:t>
      </w:r>
    </w:p>
    <w:p w14:paraId="79C716B7">
      <w:pPr>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cs="Times New Roman"/>
          <w:sz w:val="24"/>
          <w:szCs w:val="24"/>
        </w:rPr>
      </w:pPr>
      <w:r>
        <w:rPr>
          <w:rFonts w:ascii="Times New Roman" w:hAnsi="Times New Roman" w:cs="Times New Roman"/>
          <w:sz w:val="24"/>
          <w:szCs w:val="24"/>
        </w:rPr>
        <w:t>验收监测期间，废水处理设施</w:t>
      </w:r>
      <w:r>
        <w:rPr>
          <w:rFonts w:hint="eastAsia" w:ascii="Times New Roman" w:hAnsi="Times New Roman" w:cs="Times New Roman"/>
          <w:sz w:val="24"/>
          <w:szCs w:val="24"/>
        </w:rPr>
        <w:t>出口</w:t>
      </w:r>
      <w:r>
        <w:rPr>
          <w:rFonts w:ascii="Times New Roman" w:hAnsi="Times New Roman" w:cs="Times New Roman"/>
          <w:sz w:val="24"/>
          <w:szCs w:val="24"/>
        </w:rPr>
        <w:t>（DW00</w:t>
      </w:r>
      <w:r>
        <w:rPr>
          <w:rFonts w:hint="eastAsia" w:ascii="Times New Roman" w:hAnsi="Times New Roman" w:cs="Times New Roman"/>
          <w:sz w:val="24"/>
          <w:szCs w:val="24"/>
        </w:rPr>
        <w:t>2</w:t>
      </w:r>
      <w:r>
        <w:rPr>
          <w:rFonts w:ascii="Times New Roman" w:hAnsi="Times New Roman" w:cs="Times New Roman"/>
          <w:sz w:val="24"/>
          <w:szCs w:val="24"/>
        </w:rPr>
        <w:t>-2）的废水中</w:t>
      </w:r>
      <w:r>
        <w:rPr>
          <w:rFonts w:hint="eastAsia" w:ascii="Times New Roman" w:hAnsi="Times New Roman" w:cs="Times New Roman"/>
          <w:sz w:val="24"/>
          <w:szCs w:val="24"/>
        </w:rPr>
        <w:t>pH、悬浮物、五日生化需氧量、化学需氧量、阴离子表面活性剂、二甲苯、石油类符合《污水综合排放标准》（GB 8978-1996）表4中的三级排放标准要求；</w:t>
      </w:r>
      <w:r>
        <w:rPr>
          <w:rFonts w:ascii="Times New Roman" w:hAnsi="Times New Roman" w:cs="Times New Roman"/>
          <w:sz w:val="24"/>
          <w:szCs w:val="24"/>
        </w:rPr>
        <w:t>氨氮、总磷</w:t>
      </w:r>
      <w:r>
        <w:rPr>
          <w:rFonts w:hint="eastAsia" w:ascii="Times New Roman" w:hAnsi="Times New Roman" w:cs="Times New Roman"/>
          <w:sz w:val="24"/>
          <w:szCs w:val="24"/>
        </w:rPr>
        <w:t>符合</w:t>
      </w:r>
      <w:r>
        <w:rPr>
          <w:rFonts w:ascii="Times New Roman" w:hAnsi="Times New Roman" w:cs="Times New Roman"/>
          <w:sz w:val="24"/>
          <w:szCs w:val="24"/>
        </w:rPr>
        <w:t>《工业企业废水氮、磷污染物间接排放限值》（DB33/ 887-2013）表 1 中其他企业的排放限值</w:t>
      </w:r>
      <w:r>
        <w:rPr>
          <w:rFonts w:hint="eastAsia" w:ascii="Times New Roman" w:hAnsi="Times New Roman" w:cs="Times New Roman"/>
          <w:sz w:val="24"/>
          <w:szCs w:val="24"/>
        </w:rPr>
        <w:t>；</w:t>
      </w:r>
      <w:r>
        <w:rPr>
          <w:rFonts w:ascii="Times New Roman" w:hAnsi="Times New Roman" w:cs="Times New Roman"/>
          <w:sz w:val="24"/>
          <w:szCs w:val="24"/>
        </w:rPr>
        <w:t>总氮</w:t>
      </w:r>
      <w:r>
        <w:rPr>
          <w:rFonts w:hint="eastAsia" w:ascii="Times New Roman" w:hAnsi="Times New Roman" w:cs="Times New Roman"/>
          <w:sz w:val="24"/>
          <w:szCs w:val="24"/>
        </w:rPr>
        <w:t>符合</w:t>
      </w:r>
      <w:r>
        <w:rPr>
          <w:rFonts w:ascii="Times New Roman" w:hAnsi="Times New Roman" w:cs="Times New Roman"/>
          <w:sz w:val="24"/>
          <w:szCs w:val="24"/>
        </w:rPr>
        <w:t>《污水排入城镇下水道水质标准》（GB/T 31962-2015）表1中B级标准限值</w:t>
      </w:r>
      <w:r>
        <w:rPr>
          <w:rFonts w:hint="eastAsia" w:ascii="Times New Roman" w:hAnsi="Times New Roman" w:cs="Times New Roman"/>
          <w:sz w:val="24"/>
          <w:szCs w:val="24"/>
        </w:rPr>
        <w:t>。</w:t>
      </w:r>
    </w:p>
    <w:p w14:paraId="7FD67F7B">
      <w:pPr>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eastAsia="宋体" w:cs="Times New Roman"/>
          <w:sz w:val="24"/>
          <w:szCs w:val="24"/>
        </w:rPr>
      </w:pPr>
      <w:r>
        <w:rPr>
          <w:rFonts w:ascii="Times New Roman" w:hAnsi="Times New Roman" w:cs="Times New Roman"/>
          <w:sz w:val="24"/>
          <w:szCs w:val="24"/>
        </w:rPr>
        <w:t>验收监测期间，</w:t>
      </w:r>
      <w:r>
        <w:rPr>
          <w:rFonts w:hint="eastAsia" w:ascii="Times New Roman" w:hAnsi="Times New Roman" w:cs="Times New Roman"/>
          <w:sz w:val="24"/>
          <w:szCs w:val="24"/>
        </w:rPr>
        <w:t>污水总排放口</w:t>
      </w:r>
      <w:r>
        <w:rPr>
          <w:rFonts w:ascii="Times New Roman" w:hAnsi="Times New Roman" w:cs="Times New Roman"/>
          <w:sz w:val="24"/>
          <w:szCs w:val="24"/>
        </w:rPr>
        <w:t>（DW00</w:t>
      </w:r>
      <w:r>
        <w:rPr>
          <w:rFonts w:hint="eastAsia" w:ascii="Times New Roman" w:hAnsi="Times New Roman" w:cs="Times New Roman"/>
          <w:sz w:val="24"/>
          <w:szCs w:val="24"/>
        </w:rPr>
        <w:t>1</w:t>
      </w:r>
      <w:r>
        <w:rPr>
          <w:rFonts w:ascii="Times New Roman" w:hAnsi="Times New Roman" w:cs="Times New Roman"/>
          <w:sz w:val="24"/>
          <w:szCs w:val="24"/>
        </w:rPr>
        <w:t>-2）的废水中</w:t>
      </w:r>
      <w:r>
        <w:rPr>
          <w:rFonts w:hint="eastAsia" w:ascii="Times New Roman" w:hAnsi="Times New Roman" w:cs="Times New Roman"/>
          <w:sz w:val="24"/>
          <w:szCs w:val="24"/>
        </w:rPr>
        <w:t>pH、悬浮物、五日生化需氧量、化学需氧量、阴离子表面活性剂、二甲苯、石油类符合《污水综合排放标准》（GB 8978-1996）表4中的三级排放标准要求；</w:t>
      </w:r>
      <w:r>
        <w:rPr>
          <w:rFonts w:ascii="Times New Roman" w:hAnsi="Times New Roman" w:cs="Times New Roman"/>
          <w:sz w:val="24"/>
          <w:szCs w:val="24"/>
        </w:rPr>
        <w:t>氨氮、总磷</w:t>
      </w:r>
      <w:r>
        <w:rPr>
          <w:rFonts w:hint="eastAsia" w:ascii="Times New Roman" w:hAnsi="Times New Roman" w:cs="Times New Roman"/>
          <w:sz w:val="24"/>
          <w:szCs w:val="24"/>
        </w:rPr>
        <w:t>符合</w:t>
      </w:r>
      <w:r>
        <w:rPr>
          <w:rFonts w:ascii="Times New Roman" w:hAnsi="Times New Roman" w:cs="Times New Roman"/>
          <w:sz w:val="24"/>
          <w:szCs w:val="24"/>
        </w:rPr>
        <w:t>《工业企业废水氮、磷污染物间接排放限值》（DB33/ 887-2013）表 1 中其他企业的排放限值</w:t>
      </w:r>
      <w:r>
        <w:rPr>
          <w:rFonts w:hint="eastAsia" w:ascii="Times New Roman" w:hAnsi="Times New Roman" w:cs="Times New Roman"/>
          <w:sz w:val="24"/>
          <w:szCs w:val="24"/>
        </w:rPr>
        <w:t>；</w:t>
      </w:r>
      <w:r>
        <w:rPr>
          <w:rFonts w:ascii="Times New Roman" w:hAnsi="Times New Roman" w:cs="Times New Roman"/>
          <w:sz w:val="24"/>
          <w:szCs w:val="24"/>
        </w:rPr>
        <w:t>总氮</w:t>
      </w:r>
      <w:r>
        <w:rPr>
          <w:rFonts w:hint="eastAsia" w:ascii="Times New Roman" w:hAnsi="Times New Roman" w:cs="Times New Roman"/>
          <w:sz w:val="24"/>
          <w:szCs w:val="24"/>
        </w:rPr>
        <w:t>符合</w:t>
      </w:r>
      <w:r>
        <w:rPr>
          <w:rFonts w:ascii="Times New Roman" w:hAnsi="Times New Roman" w:cs="Times New Roman"/>
          <w:sz w:val="24"/>
          <w:szCs w:val="24"/>
        </w:rPr>
        <w:t>《污水排入城镇下水道水质标准》（GB/T 31962-2015）表1中B级标准限值</w:t>
      </w:r>
      <w:r>
        <w:rPr>
          <w:rFonts w:ascii="Times New Roman" w:hAnsi="Times New Roman" w:eastAsia="宋体" w:cs="Times New Roman"/>
          <w:sz w:val="24"/>
          <w:szCs w:val="24"/>
        </w:rPr>
        <w:t>。</w:t>
      </w:r>
    </w:p>
    <w:p w14:paraId="0CE1AD40">
      <w:pPr>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本项目废水处理设施（DW002）悬浮物两天去除率分别为64.7%和65.7%、化学需氧量两天去除率分别为61.4%和57.0%、石油类两天去除率分别为89.0%和89.6%、氨氮两天去除率分别为60.3%和64.9%、总氮两天去除率分别为62.5%和65.5%、总磷两天去除率分别为74.1%和49.1%、阴离子两天表面活性剂去除率分别为88.3%和88.7%。</w:t>
      </w:r>
    </w:p>
    <w:p w14:paraId="59751DD3">
      <w:pPr>
        <w:pStyle w:val="20"/>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cs="Times New Roman"/>
          <w:color w:val="auto"/>
          <w:kern w:val="22"/>
        </w:rPr>
      </w:pPr>
      <w:r>
        <w:rPr>
          <w:rFonts w:hint="eastAsia" w:ascii="Times New Roman" w:hAnsi="Times New Roman" w:cs="Times New Roman"/>
          <w:color w:val="auto"/>
        </w:rPr>
        <w:t>2、</w:t>
      </w:r>
      <w:r>
        <w:rPr>
          <w:rFonts w:ascii="Times New Roman" w:hAnsi="Times New Roman" w:cs="Times New Roman"/>
          <w:color w:val="auto"/>
        </w:rPr>
        <w:t>废气监测结论</w:t>
      </w:r>
    </w:p>
    <w:p w14:paraId="62A64DD7">
      <w:pPr>
        <w:pStyle w:val="20"/>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cs="Times New Roman"/>
          <w:color w:val="auto"/>
        </w:rPr>
      </w:pPr>
      <w:r>
        <w:rPr>
          <w:rFonts w:hint="eastAsia" w:ascii="Times New Roman" w:hAnsi="Times New Roman" w:cs="Times New Roman"/>
          <w:color w:val="auto"/>
        </w:rPr>
        <w:t>（1）</w:t>
      </w:r>
      <w:r>
        <w:rPr>
          <w:rFonts w:ascii="Times New Roman" w:hAnsi="Times New Roman" w:cs="Times New Roman"/>
          <w:color w:val="auto"/>
        </w:rPr>
        <w:t>有组织废气</w:t>
      </w:r>
    </w:p>
    <w:p w14:paraId="4C39BF63">
      <w:pPr>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eastAsia="宋体" w:cs="Times New Roman"/>
          <w:color w:val="FF0000"/>
          <w:sz w:val="24"/>
          <w:szCs w:val="24"/>
        </w:rPr>
      </w:pPr>
      <w:r>
        <w:rPr>
          <w:rFonts w:ascii="Times New Roman" w:hAnsi="Times New Roman" w:eastAsia="宋体" w:cs="Times New Roman"/>
          <w:sz w:val="24"/>
          <w:szCs w:val="24"/>
        </w:rPr>
        <w:t>验收监测期间，熔化压铸工序废气排气筒出口（DA001-2）中</w:t>
      </w:r>
      <w:r>
        <w:rPr>
          <w:rFonts w:hint="eastAsia" w:ascii="Times New Roman" w:hAnsi="Times New Roman" w:eastAsia="宋体" w:cs="Times New Roman"/>
          <w:sz w:val="24"/>
          <w:szCs w:val="24"/>
        </w:rPr>
        <w:t>非甲烷总烃</w:t>
      </w:r>
      <w:r>
        <w:rPr>
          <w:rFonts w:ascii="Times New Roman" w:hAnsi="Times New Roman" w:eastAsia="宋体" w:cs="Times New Roman"/>
          <w:sz w:val="24"/>
          <w:szCs w:val="24"/>
        </w:rPr>
        <w:t>检测结果符合《铸造工业大气污染物排放标准》（GB 39726-2020）表1</w:t>
      </w:r>
      <w:r>
        <w:rPr>
          <w:rFonts w:hint="eastAsia" w:ascii="Times New Roman" w:hAnsi="Times New Roman" w:eastAsia="宋体" w:cs="Times New Roman"/>
          <w:sz w:val="24"/>
          <w:szCs w:val="24"/>
        </w:rPr>
        <w:t>限值要求</w:t>
      </w:r>
      <w:r>
        <w:rPr>
          <w:rFonts w:ascii="Times New Roman" w:hAnsi="Times New Roman" w:eastAsia="宋体" w:cs="Times New Roman"/>
          <w:sz w:val="24"/>
          <w:szCs w:val="24"/>
        </w:rPr>
        <w:t>。</w:t>
      </w:r>
      <w:r>
        <w:rPr>
          <w:rFonts w:hint="eastAsia" w:ascii="Times New Roman" w:hAnsi="Times New Roman" w:eastAsia="宋体" w:cs="Times New Roman"/>
          <w:sz w:val="24"/>
          <w:szCs w:val="24"/>
        </w:rPr>
        <w:t>低浓度颗粒物、二氧化硫、氮氧化物</w:t>
      </w:r>
      <w:r>
        <w:rPr>
          <w:rFonts w:ascii="Times New Roman" w:hAnsi="Times New Roman" w:eastAsia="宋体" w:cs="Times New Roman"/>
          <w:sz w:val="24"/>
          <w:szCs w:val="24"/>
        </w:rPr>
        <w:t>检测结果</w:t>
      </w:r>
      <w:r>
        <w:rPr>
          <w:rFonts w:hint="eastAsia" w:ascii="Times New Roman" w:hAnsi="Times New Roman" w:eastAsia="宋体" w:cs="Times New Roman"/>
          <w:sz w:val="24"/>
          <w:szCs w:val="24"/>
        </w:rPr>
        <w:t>均</w:t>
      </w:r>
      <w:r>
        <w:rPr>
          <w:rFonts w:ascii="Times New Roman" w:hAnsi="Times New Roman" w:eastAsia="宋体" w:cs="Times New Roman"/>
          <w:sz w:val="24"/>
          <w:szCs w:val="24"/>
        </w:rPr>
        <w:t>符合《铸造工业大气污染物排放标准》（GB 39726-2020）表1</w:t>
      </w:r>
      <w:r>
        <w:rPr>
          <w:rFonts w:hint="eastAsia" w:ascii="Times New Roman" w:hAnsi="Times New Roman" w:eastAsia="宋体" w:cs="Times New Roman"/>
          <w:sz w:val="24"/>
          <w:szCs w:val="24"/>
        </w:rPr>
        <w:t>限值要求</w:t>
      </w:r>
      <w:r>
        <w:rPr>
          <w:rFonts w:ascii="Times New Roman" w:hAnsi="Times New Roman" w:eastAsia="宋体" w:cs="Times New Roman"/>
          <w:sz w:val="24"/>
          <w:szCs w:val="24"/>
        </w:rPr>
        <w:t>。</w:t>
      </w:r>
    </w:p>
    <w:p w14:paraId="030EDE1E">
      <w:pPr>
        <w:keepNext w:val="0"/>
        <w:keepLines w:val="0"/>
        <w:pageBreakBefore w:val="0"/>
        <w:widowControl/>
        <w:kinsoku/>
        <w:wordWrap/>
        <w:overflowPunct/>
        <w:topLinePunct w:val="0"/>
        <w:bidi w:val="0"/>
        <w:adjustRightInd w:val="0"/>
        <w:snapToGrid w:val="0"/>
        <w:spacing w:line="336" w:lineRule="auto"/>
        <w:ind w:firstLine="480" w:firstLineChars="200"/>
        <w:textAlignment w:val="auto"/>
        <w:rPr>
          <w:rFonts w:ascii="Times New Roman" w:hAnsi="Times New Roman" w:eastAsia="宋体" w:cs="Times New Roman"/>
          <w:color w:val="FF0000"/>
          <w:sz w:val="24"/>
          <w:szCs w:val="24"/>
        </w:rPr>
      </w:pPr>
      <w:r>
        <w:rPr>
          <w:rFonts w:ascii="Times New Roman" w:hAnsi="Times New Roman" w:eastAsia="宋体" w:cs="Times New Roman"/>
          <w:sz w:val="24"/>
          <w:szCs w:val="24"/>
        </w:rPr>
        <w:t>验收监测期间，1#抛光线抛光工序废气排气筒出口（DA00</w:t>
      </w:r>
      <w:r>
        <w:rPr>
          <w:rFonts w:hint="eastAsia" w:ascii="Times New Roman" w:hAnsi="Times New Roman" w:eastAsia="宋体" w:cs="Times New Roman"/>
          <w:sz w:val="24"/>
          <w:szCs w:val="24"/>
        </w:rPr>
        <w:t>2</w:t>
      </w:r>
      <w:r>
        <w:rPr>
          <w:rFonts w:ascii="Times New Roman" w:hAnsi="Times New Roman" w:eastAsia="宋体" w:cs="Times New Roman"/>
          <w:sz w:val="24"/>
          <w:szCs w:val="24"/>
        </w:rPr>
        <w:t>-2）中</w:t>
      </w:r>
      <w:r>
        <w:rPr>
          <w:rFonts w:hint="eastAsia" w:ascii="Times New Roman" w:hAnsi="Times New Roman" w:eastAsia="宋体" w:cs="Times New Roman"/>
          <w:sz w:val="24"/>
          <w:szCs w:val="24"/>
        </w:rPr>
        <w:t>低浓度颗粒物检测结果符合《工业涂装工序大气污染物排放标准》（DB33/ 2146-2018）表1限值要求。</w:t>
      </w:r>
    </w:p>
    <w:p w14:paraId="0B637C9C">
      <w:pPr>
        <w:keepNext w:val="0"/>
        <w:keepLines w:val="0"/>
        <w:pageBreakBefore w:val="0"/>
        <w:widowControl/>
        <w:kinsoku/>
        <w:wordWrap/>
        <w:overflowPunct/>
        <w:topLinePunct w:val="0"/>
        <w:bidi w:val="0"/>
        <w:adjustRightInd w:val="0"/>
        <w:snapToGrid w:val="0"/>
        <w:spacing w:line="336" w:lineRule="auto"/>
        <w:ind w:firstLine="480" w:firstLineChars="200"/>
        <w:textAlignment w:val="auto"/>
        <w:rPr>
          <w:rFonts w:ascii="Times New Roman" w:hAnsi="Times New Roman" w:eastAsia="宋体" w:cs="Times New Roman"/>
          <w:sz w:val="24"/>
          <w:szCs w:val="24"/>
        </w:rPr>
      </w:pPr>
      <w:r>
        <w:rPr>
          <w:rFonts w:ascii="Times New Roman" w:hAnsi="Times New Roman" w:eastAsia="宋体" w:cs="Times New Roman"/>
          <w:sz w:val="24"/>
          <w:szCs w:val="24"/>
        </w:rPr>
        <w:t>验收监测期间，</w:t>
      </w:r>
      <w:r>
        <w:rPr>
          <w:rFonts w:hint="eastAsia" w:ascii="Times New Roman" w:hAnsi="Times New Roman" w:eastAsia="宋体" w:cs="Times New Roman"/>
          <w:sz w:val="24"/>
          <w:szCs w:val="24"/>
        </w:rPr>
        <w:t>酸洗工序废气处理设施出口（DA003-2）</w:t>
      </w:r>
      <w:r>
        <w:rPr>
          <w:rFonts w:ascii="Times New Roman" w:hAnsi="Times New Roman" w:eastAsia="宋体" w:cs="Times New Roman"/>
          <w:sz w:val="24"/>
          <w:szCs w:val="24"/>
        </w:rPr>
        <w:t>中</w:t>
      </w:r>
      <w:r>
        <w:rPr>
          <w:rFonts w:hint="eastAsia" w:ascii="Times New Roman" w:hAnsi="Times New Roman" w:eastAsia="宋体" w:cs="Times New Roman"/>
          <w:sz w:val="24"/>
          <w:szCs w:val="24"/>
        </w:rPr>
        <w:t>氯化氢检测结果符合《大气污染物综合排放标准》（GB 16297-1996）表2二级限值要求。</w:t>
      </w:r>
    </w:p>
    <w:p w14:paraId="0F8DDED3">
      <w:pPr>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eastAsia="宋体" w:cs="Times New Roman"/>
          <w:color w:val="FF0000"/>
          <w:sz w:val="24"/>
          <w:szCs w:val="24"/>
        </w:rPr>
      </w:pPr>
      <w:r>
        <w:rPr>
          <w:rFonts w:ascii="Times New Roman" w:hAnsi="Times New Roman" w:eastAsia="宋体" w:cs="Times New Roman"/>
          <w:sz w:val="24"/>
          <w:szCs w:val="24"/>
        </w:rPr>
        <w:t>验收监测期间，涂装工序（天然气燃烧）废气排气筒出口</w:t>
      </w:r>
      <w:r>
        <w:rPr>
          <w:rFonts w:hint="eastAsia" w:ascii="Times New Roman" w:hAnsi="Times New Roman" w:eastAsia="宋体" w:cs="Times New Roman"/>
          <w:sz w:val="24"/>
          <w:szCs w:val="24"/>
        </w:rPr>
        <w:t>（</w:t>
      </w:r>
      <w:r>
        <w:rPr>
          <w:rFonts w:ascii="Times New Roman" w:hAnsi="Times New Roman" w:eastAsia="宋体" w:cs="Times New Roman"/>
          <w:sz w:val="24"/>
          <w:szCs w:val="24"/>
        </w:rPr>
        <w:t>DA004-2</w:t>
      </w:r>
      <w:r>
        <w:rPr>
          <w:rFonts w:hint="eastAsia" w:ascii="Times New Roman" w:hAnsi="Times New Roman" w:eastAsia="宋体" w:cs="Times New Roman"/>
          <w:sz w:val="24"/>
          <w:szCs w:val="24"/>
        </w:rPr>
        <w:t>）</w:t>
      </w:r>
      <w:r>
        <w:rPr>
          <w:rFonts w:ascii="Times New Roman" w:hAnsi="Times New Roman" w:eastAsia="宋体" w:cs="Times New Roman"/>
          <w:sz w:val="24"/>
          <w:szCs w:val="24"/>
        </w:rPr>
        <w:t>中</w:t>
      </w:r>
      <w:r>
        <w:rPr>
          <w:rFonts w:hint="eastAsia" w:ascii="Times New Roman" w:hAnsi="Times New Roman" w:eastAsia="宋体" w:cs="Times New Roman"/>
          <w:sz w:val="24"/>
          <w:szCs w:val="24"/>
        </w:rPr>
        <w:t>低浓度颗粒物、二甲苯、乙酸酯类、非甲烷总烃、臭气浓度检测结果均符合《工业涂装工序大气污染物排放标准》（DB33/ 2146-2018）表1限值要求。</w:t>
      </w:r>
    </w:p>
    <w:p w14:paraId="771A285F">
      <w:pPr>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eastAsia="宋体" w:cs="Times New Roman"/>
          <w:sz w:val="24"/>
          <w:szCs w:val="24"/>
        </w:rPr>
      </w:pPr>
      <w:r>
        <w:rPr>
          <w:rFonts w:ascii="Times New Roman" w:hAnsi="Times New Roman" w:eastAsia="宋体" w:cs="Times New Roman"/>
          <w:sz w:val="24"/>
          <w:szCs w:val="24"/>
        </w:rPr>
        <w:t>验收监测期间，天然气燃烧废气排气筒出口</w:t>
      </w:r>
      <w:r>
        <w:rPr>
          <w:rFonts w:hint="eastAsia" w:ascii="Times New Roman" w:hAnsi="Times New Roman" w:eastAsia="宋体" w:cs="Times New Roman"/>
          <w:sz w:val="24"/>
          <w:szCs w:val="24"/>
        </w:rPr>
        <w:t>（</w:t>
      </w:r>
      <w:r>
        <w:rPr>
          <w:rFonts w:ascii="Times New Roman" w:hAnsi="Times New Roman" w:eastAsia="宋体" w:cs="Times New Roman"/>
          <w:sz w:val="24"/>
          <w:szCs w:val="24"/>
        </w:rPr>
        <w:t>DA004-2</w:t>
      </w:r>
      <w:r>
        <w:rPr>
          <w:rFonts w:hint="eastAsia" w:ascii="Times New Roman" w:hAnsi="Times New Roman" w:eastAsia="宋体" w:cs="Times New Roman"/>
          <w:sz w:val="24"/>
          <w:szCs w:val="24"/>
        </w:rPr>
        <w:t>）</w:t>
      </w:r>
      <w:r>
        <w:rPr>
          <w:rFonts w:ascii="Times New Roman" w:hAnsi="Times New Roman" w:eastAsia="宋体" w:cs="Times New Roman"/>
          <w:sz w:val="24"/>
          <w:szCs w:val="24"/>
        </w:rPr>
        <w:t>中</w:t>
      </w:r>
      <w:r>
        <w:rPr>
          <w:rFonts w:hint="eastAsia" w:ascii="Times New Roman" w:hAnsi="Times New Roman" w:eastAsia="宋体" w:cs="Times New Roman"/>
          <w:sz w:val="24"/>
          <w:szCs w:val="24"/>
        </w:rPr>
        <w:t>二氧化硫、氮氧化物检测结果均符合《浙江省工业炉窑大气污染综合治理方案》（浙环函[2019]315号）中的限值要求。</w:t>
      </w:r>
    </w:p>
    <w:p w14:paraId="46F28822">
      <w:pPr>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eastAsia="宋体" w:cs="Times New Roman"/>
          <w:sz w:val="24"/>
          <w:szCs w:val="24"/>
        </w:rPr>
      </w:pPr>
      <w:r>
        <w:rPr>
          <w:rFonts w:ascii="Times New Roman" w:hAnsi="Times New Roman" w:eastAsia="宋体" w:cs="Times New Roman"/>
          <w:sz w:val="24"/>
          <w:szCs w:val="24"/>
        </w:rPr>
        <w:t>验收监测期间，涂装工序废气排气筒出口</w:t>
      </w:r>
      <w:r>
        <w:rPr>
          <w:rFonts w:hint="eastAsia" w:ascii="Times New Roman" w:hAnsi="Times New Roman" w:eastAsia="宋体" w:cs="Times New Roman"/>
          <w:sz w:val="24"/>
          <w:szCs w:val="24"/>
        </w:rPr>
        <w:t>（</w:t>
      </w:r>
      <w:r>
        <w:rPr>
          <w:rFonts w:ascii="Times New Roman" w:hAnsi="Times New Roman" w:eastAsia="宋体" w:cs="Times New Roman"/>
          <w:sz w:val="24"/>
          <w:szCs w:val="24"/>
        </w:rPr>
        <w:t>DA004-2</w:t>
      </w:r>
      <w:r>
        <w:rPr>
          <w:rFonts w:hint="eastAsia" w:ascii="Times New Roman" w:hAnsi="Times New Roman" w:eastAsia="宋体" w:cs="Times New Roman"/>
          <w:sz w:val="24"/>
          <w:szCs w:val="24"/>
        </w:rPr>
        <w:t>）（脱附状态）中非甲烷总烃检测结果均符合《工业涂装工序大气污染物排放标准》（DB33/ 2146-2018）表1限值要求</w:t>
      </w:r>
      <w:r>
        <w:rPr>
          <w:rFonts w:ascii="Times New Roman" w:hAnsi="Times New Roman" w:eastAsia="宋体" w:cs="Times New Roman"/>
          <w:sz w:val="24"/>
          <w:szCs w:val="24"/>
        </w:rPr>
        <w:t>。</w:t>
      </w:r>
    </w:p>
    <w:p w14:paraId="07021A8A">
      <w:pPr>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本项目酸洗工序废气处理设施（DA003）氯化氢两天去除率分别为53.3%和58.3%，涂装工序废气处理设施（DA001）VOCS去除率分别为78.3%和81.8%</w:t>
      </w:r>
      <w:r>
        <w:rPr>
          <w:rFonts w:hint="eastAsia" w:ascii="Times New Roman" w:hAnsi="Times New Roman" w:eastAsia="宋体" w:cs="Times New Roman"/>
          <w:sz w:val="24"/>
          <w:szCs w:val="24"/>
          <w:lang w:val="en-US" w:eastAsia="zh-CN"/>
        </w:rPr>
        <w:t>。</w:t>
      </w:r>
    </w:p>
    <w:p w14:paraId="18B712B0">
      <w:pPr>
        <w:pStyle w:val="20"/>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cs="Times New Roman"/>
          <w:color w:val="auto"/>
        </w:rPr>
      </w:pPr>
      <w:r>
        <w:rPr>
          <w:rFonts w:hint="eastAsia" w:ascii="Times New Roman" w:hAnsi="Times New Roman" w:cs="Times New Roman"/>
          <w:color w:val="auto"/>
        </w:rPr>
        <w:t>（2）</w:t>
      </w:r>
      <w:r>
        <w:rPr>
          <w:rFonts w:ascii="Times New Roman" w:hAnsi="Times New Roman" w:cs="Times New Roman"/>
          <w:color w:val="auto"/>
        </w:rPr>
        <w:t>无组织废气</w:t>
      </w:r>
    </w:p>
    <w:p w14:paraId="4156AB46">
      <w:pPr>
        <w:keepNext w:val="0"/>
        <w:keepLines w:val="0"/>
        <w:pageBreakBefore w:val="0"/>
        <w:widowControl/>
        <w:kinsoku/>
        <w:wordWrap/>
        <w:overflowPunct/>
        <w:topLinePunct w:val="0"/>
        <w:bidi w:val="0"/>
        <w:adjustRightInd w:val="0"/>
        <w:snapToGrid w:val="0"/>
        <w:spacing w:line="336" w:lineRule="auto"/>
        <w:ind w:firstLine="480" w:firstLineChars="200"/>
        <w:jc w:val="left"/>
        <w:textAlignment w:val="auto"/>
        <w:rPr>
          <w:rFonts w:ascii="Times New Roman" w:hAnsi="Times New Roman" w:eastAsia="宋体" w:cs="Times New Roman"/>
          <w:bCs/>
          <w:kern w:val="0"/>
          <w:sz w:val="24"/>
          <w:szCs w:val="21"/>
        </w:rPr>
      </w:pPr>
      <w:r>
        <w:rPr>
          <w:rFonts w:hint="eastAsia" w:ascii="Times New Roman" w:hAnsi="Times New Roman" w:eastAsia="宋体" w:cs="Times New Roman"/>
          <w:kern w:val="22"/>
          <w:sz w:val="24"/>
          <w:szCs w:val="24"/>
        </w:rPr>
        <w:t>验收监测期间，</w:t>
      </w:r>
      <w:r>
        <w:rPr>
          <w:rFonts w:ascii="Times New Roman" w:hAnsi="Times New Roman" w:eastAsia="宋体" w:cs="Times New Roman"/>
          <w:kern w:val="22"/>
          <w:sz w:val="24"/>
          <w:szCs w:val="24"/>
        </w:rPr>
        <w:t>厂界</w:t>
      </w:r>
      <w:r>
        <w:rPr>
          <w:rFonts w:hint="eastAsia" w:ascii="Times New Roman" w:hAnsi="Times New Roman" w:eastAsia="宋体" w:cs="Times New Roman"/>
          <w:kern w:val="22"/>
          <w:sz w:val="24"/>
          <w:szCs w:val="24"/>
        </w:rPr>
        <w:t>颗粒物、二氧化硫、氮氧化物、氯化氢检测结果均符合《大气污染物综合排放标准》（GB 16297-1996）表2限值要求；乙酸乙酯、乙酸丁酯、二甲苯、非甲烷总烃、臭气浓度检测结果均符合《工业涂装工序大气污染物排放标准》（DB33/ 2146-2018）表6限值要求</w:t>
      </w:r>
      <w:r>
        <w:rPr>
          <w:rFonts w:hint="eastAsia" w:ascii="Times New Roman" w:hAnsi="Times New Roman" w:eastAsia="宋体" w:cs="Times New Roman"/>
          <w:bCs/>
          <w:kern w:val="0"/>
          <w:sz w:val="24"/>
          <w:szCs w:val="21"/>
        </w:rPr>
        <w:t>。</w:t>
      </w:r>
    </w:p>
    <w:p w14:paraId="4453148C">
      <w:pPr>
        <w:keepNext w:val="0"/>
        <w:keepLines w:val="0"/>
        <w:pageBreakBefore w:val="0"/>
        <w:widowControl/>
        <w:kinsoku/>
        <w:wordWrap/>
        <w:overflowPunct/>
        <w:topLinePunct w:val="0"/>
        <w:bidi w:val="0"/>
        <w:adjustRightInd w:val="0"/>
        <w:snapToGrid w:val="0"/>
        <w:spacing w:line="336" w:lineRule="auto"/>
        <w:ind w:firstLine="480" w:firstLineChars="200"/>
        <w:jc w:val="left"/>
        <w:textAlignment w:val="auto"/>
        <w:rPr>
          <w:rFonts w:ascii="Times New Roman" w:hAnsi="Times New Roman" w:eastAsia="宋体" w:cs="Times New Roman"/>
          <w:kern w:val="22"/>
          <w:sz w:val="24"/>
          <w:szCs w:val="24"/>
        </w:rPr>
      </w:pPr>
      <w:r>
        <w:rPr>
          <w:rFonts w:hint="eastAsia" w:ascii="Times New Roman" w:hAnsi="Times New Roman" w:eastAsia="宋体" w:cs="Times New Roman"/>
          <w:kern w:val="22"/>
          <w:sz w:val="24"/>
          <w:szCs w:val="24"/>
        </w:rPr>
        <w:t>厂界内生产车间外非甲烷总烃的最大小时均值及最大一次值均符合《挥发性有机物无组织排放控制标准》（GB 37822-2019）表A.1特别排放限值。</w:t>
      </w:r>
    </w:p>
    <w:p w14:paraId="516956E8">
      <w:pPr>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eastAsia="宋体" w:cs="Times New Roman"/>
          <w:bCs/>
          <w:kern w:val="22"/>
          <w:sz w:val="24"/>
          <w:szCs w:val="24"/>
        </w:rPr>
      </w:pPr>
      <w:r>
        <w:rPr>
          <w:rFonts w:hint="eastAsia" w:ascii="Times New Roman" w:hAnsi="Times New Roman" w:eastAsia="宋体" w:cs="Times New Roman"/>
          <w:kern w:val="22"/>
          <w:sz w:val="24"/>
          <w:szCs w:val="24"/>
        </w:rPr>
        <w:t>厂界内生产车间外颗粒物的最大小时均值符合《铸造工业大气污染物排放标准》（GB 39726-2020）表A.1的排放限值</w:t>
      </w:r>
      <w:r>
        <w:rPr>
          <w:rFonts w:ascii="Times New Roman" w:hAnsi="Times New Roman" w:eastAsia="宋体" w:cs="Times New Roman"/>
          <w:bCs/>
          <w:kern w:val="22"/>
          <w:sz w:val="24"/>
          <w:szCs w:val="24"/>
        </w:rPr>
        <w:t>。</w:t>
      </w:r>
    </w:p>
    <w:p w14:paraId="29914CB7">
      <w:pPr>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3、</w:t>
      </w:r>
      <w:r>
        <w:rPr>
          <w:rFonts w:ascii="Times New Roman" w:hAnsi="Times New Roman" w:eastAsia="宋体" w:cs="Times New Roman"/>
          <w:color w:val="000000"/>
          <w:sz w:val="24"/>
          <w:szCs w:val="24"/>
        </w:rPr>
        <w:t>噪声监测结论</w:t>
      </w:r>
    </w:p>
    <w:p w14:paraId="72418F37">
      <w:pPr>
        <w:keepNext w:val="0"/>
        <w:keepLines w:val="0"/>
        <w:pageBreakBefore w:val="0"/>
        <w:kinsoku/>
        <w:wordWrap/>
        <w:overflowPunct/>
        <w:topLinePunct w:val="0"/>
        <w:bidi w:val="0"/>
        <w:adjustRightInd w:val="0"/>
        <w:snapToGrid w:val="0"/>
        <w:spacing w:line="336" w:lineRule="auto"/>
        <w:ind w:firstLine="480" w:firstLineChars="200"/>
        <w:textAlignment w:val="auto"/>
        <w:rPr>
          <w:rFonts w:hint="eastAsia" w:ascii="Times New Roman" w:hAnsi="Times New Roman" w:eastAsia="宋体" w:cs="Times New Roman"/>
          <w:color w:val="000000"/>
          <w:sz w:val="24"/>
          <w:szCs w:val="24"/>
        </w:rPr>
      </w:pPr>
      <w:r>
        <w:rPr>
          <w:rFonts w:ascii="Times New Roman" w:hAnsi="Times New Roman" w:cs="Times New Roman"/>
          <w:sz w:val="24"/>
        </w:rPr>
        <w:t>厂界</w:t>
      </w:r>
      <w:r>
        <w:rPr>
          <w:rFonts w:hint="eastAsia" w:ascii="Times New Roman" w:hAnsi="Times New Roman" w:cs="Times New Roman"/>
          <w:sz w:val="24"/>
        </w:rPr>
        <w:t>南外、西外昼间噪声、夜间噪声结果均</w:t>
      </w:r>
      <w:r>
        <w:rPr>
          <w:rFonts w:hint="eastAsia" w:ascii="Times New Roman" w:hAnsi="Times New Roman" w:cs="Times New Roman"/>
          <w:color w:val="000000"/>
          <w:sz w:val="24"/>
        </w:rPr>
        <w:t>符合</w:t>
      </w:r>
      <w:r>
        <w:rPr>
          <w:rFonts w:ascii="Times New Roman" w:hAnsi="Times New Roman" w:cs="Times New Roman"/>
          <w:color w:val="000000"/>
          <w:sz w:val="24"/>
        </w:rPr>
        <w:t>《工业企业厂界噪声排放标准》</w:t>
      </w:r>
      <w:r>
        <w:rPr>
          <w:rFonts w:hint="eastAsia" w:ascii="Times New Roman" w:hAnsi="Times New Roman" w:cs="Times New Roman"/>
          <w:color w:val="000000"/>
          <w:sz w:val="24"/>
        </w:rPr>
        <w:t>（</w:t>
      </w:r>
      <w:r>
        <w:rPr>
          <w:rFonts w:ascii="Times New Roman" w:hAnsi="Times New Roman" w:cs="Times New Roman"/>
          <w:color w:val="000000"/>
          <w:sz w:val="24"/>
        </w:rPr>
        <w:t>GB</w:t>
      </w:r>
      <w:r>
        <w:rPr>
          <w:rFonts w:hint="eastAsia" w:ascii="Times New Roman" w:hAnsi="Times New Roman" w:cs="Times New Roman"/>
          <w:color w:val="000000"/>
          <w:sz w:val="24"/>
        </w:rPr>
        <w:t xml:space="preserve"> </w:t>
      </w:r>
      <w:r>
        <w:rPr>
          <w:rFonts w:ascii="Times New Roman" w:hAnsi="Times New Roman" w:cs="Times New Roman"/>
          <w:color w:val="000000"/>
          <w:sz w:val="24"/>
        </w:rPr>
        <w:t>12348-2008</w:t>
      </w:r>
      <w:r>
        <w:rPr>
          <w:rFonts w:hint="eastAsia" w:ascii="Times New Roman" w:hAnsi="Times New Roman" w:cs="Times New Roman"/>
          <w:color w:val="000000"/>
          <w:sz w:val="24"/>
        </w:rPr>
        <w:t>）表1中的3类要求</w:t>
      </w:r>
      <w:r>
        <w:rPr>
          <w:rFonts w:ascii="Times New Roman" w:hAnsi="Times New Roman" w:eastAsia="宋体" w:cs="Times New Roman"/>
          <w:color w:val="000000"/>
          <w:sz w:val="24"/>
          <w:szCs w:val="24"/>
        </w:rPr>
        <w:t>。</w:t>
      </w:r>
    </w:p>
    <w:p w14:paraId="50676C7D">
      <w:pPr>
        <w:pStyle w:val="7"/>
        <w:keepNext w:val="0"/>
        <w:keepLines w:val="0"/>
        <w:pageBreakBefore w:val="0"/>
        <w:kinsoku/>
        <w:wordWrap/>
        <w:overflowPunct/>
        <w:topLinePunct w:val="0"/>
        <w:bidi w:val="0"/>
        <w:adjustRightInd w:val="0"/>
        <w:snapToGrid w:val="0"/>
        <w:spacing w:after="0" w:line="336" w:lineRule="auto"/>
        <w:ind w:firstLine="480" w:firstLineChars="200"/>
        <w:textAlignment w:val="auto"/>
        <w:rPr>
          <w:sz w:val="24"/>
        </w:rPr>
      </w:pPr>
      <w:r>
        <w:rPr>
          <w:rFonts w:hint="eastAsia"/>
          <w:sz w:val="24"/>
        </w:rPr>
        <w:t>验收监测期间，南侧桐琴果园社区居民区外1m处昼间噪声Leq最大值为59</w:t>
      </w:r>
      <w:r>
        <w:rPr>
          <w:sz w:val="24"/>
        </w:rPr>
        <w:t>dB(A)</w:t>
      </w:r>
      <w:r>
        <w:rPr>
          <w:rFonts w:hint="eastAsia"/>
          <w:sz w:val="24"/>
        </w:rPr>
        <w:t>，夜间噪声Leq最大值为49</w:t>
      </w:r>
      <w:r>
        <w:rPr>
          <w:sz w:val="24"/>
        </w:rPr>
        <w:t>dB(A)</w:t>
      </w:r>
      <w:r>
        <w:rPr>
          <w:rFonts w:hint="eastAsia"/>
          <w:sz w:val="24"/>
        </w:rPr>
        <w:t>，符合</w:t>
      </w:r>
      <w:r>
        <w:rPr>
          <w:sz w:val="24"/>
        </w:rPr>
        <w:t>《工业企业厂界噪声排放标准》</w:t>
      </w:r>
      <w:r>
        <w:rPr>
          <w:rFonts w:hint="eastAsia"/>
          <w:sz w:val="24"/>
        </w:rPr>
        <w:t>（</w:t>
      </w:r>
      <w:r>
        <w:rPr>
          <w:sz w:val="24"/>
        </w:rPr>
        <w:t>GB</w:t>
      </w:r>
      <w:r>
        <w:rPr>
          <w:rFonts w:hint="eastAsia"/>
          <w:sz w:val="24"/>
        </w:rPr>
        <w:t xml:space="preserve"> </w:t>
      </w:r>
      <w:r>
        <w:rPr>
          <w:sz w:val="24"/>
        </w:rPr>
        <w:t>12348-2008</w:t>
      </w:r>
      <w:r>
        <w:rPr>
          <w:rFonts w:hint="eastAsia"/>
          <w:sz w:val="24"/>
        </w:rPr>
        <w:t>）表1中的2类要求</w:t>
      </w:r>
      <w:r>
        <w:rPr>
          <w:sz w:val="24"/>
        </w:rPr>
        <w:t>。</w:t>
      </w:r>
    </w:p>
    <w:p w14:paraId="48EC5F04">
      <w:pPr>
        <w:pStyle w:val="20"/>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cs="Times New Roman"/>
          <w:color w:val="auto"/>
        </w:rPr>
      </w:pPr>
      <w:r>
        <w:rPr>
          <w:rFonts w:hint="eastAsia" w:ascii="Times New Roman" w:hAnsi="Times New Roman" w:cs="Times New Roman"/>
          <w:color w:val="auto"/>
        </w:rPr>
        <w:t>4、</w:t>
      </w:r>
      <w:r>
        <w:rPr>
          <w:rFonts w:ascii="Times New Roman" w:hAnsi="Times New Roman" w:cs="Times New Roman"/>
          <w:color w:val="auto"/>
        </w:rPr>
        <w:t xml:space="preserve">固废核查结论   </w:t>
      </w:r>
    </w:p>
    <w:p w14:paraId="27C053F0">
      <w:pPr>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eastAsia="宋体" w:cs="Times New Roman"/>
          <w:sz w:val="24"/>
          <w:szCs w:val="24"/>
        </w:rPr>
      </w:pPr>
      <w:r>
        <w:rPr>
          <w:rFonts w:ascii="Times New Roman" w:hAnsi="Times New Roman" w:eastAsia="宋体" w:cs="Times New Roman"/>
          <w:sz w:val="24"/>
          <w:szCs w:val="24"/>
        </w:rPr>
        <w:t>危险废物：厂房设置</w:t>
      </w:r>
      <w:r>
        <w:rPr>
          <w:rFonts w:hint="eastAsia" w:ascii="Times New Roman" w:hAnsi="Times New Roman" w:eastAsia="宋体" w:cs="Times New Roman"/>
          <w:sz w:val="24"/>
          <w:szCs w:val="24"/>
        </w:rPr>
        <w:t>有两个</w:t>
      </w:r>
      <w:r>
        <w:rPr>
          <w:rFonts w:ascii="Times New Roman" w:hAnsi="Times New Roman" w:eastAsia="宋体" w:cs="Times New Roman"/>
          <w:sz w:val="24"/>
          <w:szCs w:val="24"/>
        </w:rPr>
        <w:t>危废仓库，位于1#车间1F南侧（面积为10m</w:t>
      </w:r>
      <w:r>
        <w:rPr>
          <w:rFonts w:ascii="Times New Roman" w:hAnsi="Times New Roman" w:eastAsia="宋体" w:cs="Times New Roman"/>
          <w:sz w:val="24"/>
          <w:szCs w:val="24"/>
          <w:vertAlign w:val="superscript"/>
        </w:rPr>
        <w:t>2</w:t>
      </w:r>
      <w:r>
        <w:rPr>
          <w:rFonts w:ascii="Times New Roman" w:hAnsi="Times New Roman" w:eastAsia="宋体" w:cs="Times New Roman"/>
          <w:sz w:val="24"/>
          <w:szCs w:val="24"/>
        </w:rPr>
        <w:t>）和1#车间1F西侧夹层（面积为20m</w:t>
      </w:r>
      <w:r>
        <w:rPr>
          <w:rFonts w:ascii="Times New Roman" w:hAnsi="Times New Roman" w:eastAsia="宋体" w:cs="Times New Roman"/>
          <w:sz w:val="24"/>
          <w:szCs w:val="24"/>
          <w:vertAlign w:val="superscript"/>
        </w:rPr>
        <w:t>2</w:t>
      </w:r>
      <w:r>
        <w:rPr>
          <w:rFonts w:ascii="Times New Roman" w:hAnsi="Times New Roman" w:eastAsia="宋体" w:cs="Times New Roman"/>
          <w:sz w:val="24"/>
          <w:szCs w:val="24"/>
        </w:rPr>
        <w:t>）</w:t>
      </w:r>
      <w:r>
        <w:rPr>
          <w:rFonts w:hint="eastAsia" w:ascii="Times New Roman" w:hAnsi="Times New Roman" w:eastAsia="宋体" w:cs="Times New Roman"/>
          <w:sz w:val="24"/>
          <w:szCs w:val="24"/>
        </w:rPr>
        <w:t>，</w:t>
      </w:r>
      <w:r>
        <w:rPr>
          <w:rFonts w:ascii="Times New Roman" w:hAnsi="Times New Roman" w:eastAsia="宋体" w:cs="Times New Roman"/>
          <w:sz w:val="24"/>
          <w:szCs w:val="24"/>
        </w:rPr>
        <w:t>铝灰渣</w:t>
      </w:r>
      <w:r>
        <w:rPr>
          <w:rFonts w:hint="eastAsia" w:ascii="Times New Roman" w:hAnsi="Times New Roman" w:eastAsia="宋体" w:cs="Times New Roman"/>
          <w:sz w:val="24"/>
          <w:szCs w:val="24"/>
        </w:rPr>
        <w:t>收集后定期委托</w:t>
      </w:r>
      <w:r>
        <w:rPr>
          <w:rFonts w:ascii="Times New Roman" w:hAnsi="Times New Roman" w:eastAsia="宋体" w:cs="Times New Roman"/>
          <w:sz w:val="24"/>
          <w:szCs w:val="24"/>
        </w:rPr>
        <w:t>浙江硕博再生资源有限公司</w:t>
      </w:r>
      <w:r>
        <w:rPr>
          <w:rFonts w:hint="eastAsia" w:ascii="Times New Roman" w:hAnsi="Times New Roman" w:eastAsia="宋体" w:cs="Times New Roman"/>
          <w:sz w:val="24"/>
          <w:szCs w:val="24"/>
        </w:rPr>
        <w:t>处置；</w:t>
      </w:r>
      <w:r>
        <w:rPr>
          <w:rFonts w:ascii="Times New Roman" w:hAnsi="Times New Roman" w:eastAsia="宋体" w:cs="Times New Roman"/>
          <w:sz w:val="24"/>
          <w:szCs w:val="24"/>
        </w:rPr>
        <w:t>熔铸沉渣</w:t>
      </w:r>
      <w:r>
        <w:rPr>
          <w:rFonts w:hint="eastAsia" w:ascii="Times New Roman" w:hAnsi="Times New Roman" w:eastAsia="宋体" w:cs="Times New Roman"/>
          <w:sz w:val="24"/>
          <w:szCs w:val="24"/>
        </w:rPr>
        <w:t>、</w:t>
      </w:r>
      <w:r>
        <w:rPr>
          <w:rFonts w:ascii="Times New Roman" w:hAnsi="Times New Roman" w:eastAsia="宋体" w:cs="Times New Roman"/>
          <w:sz w:val="24"/>
          <w:szCs w:val="24"/>
        </w:rPr>
        <w:t>废酸</w:t>
      </w:r>
      <w:r>
        <w:rPr>
          <w:rFonts w:hint="eastAsia" w:ascii="Times New Roman" w:hAnsi="Times New Roman" w:eastAsia="宋体" w:cs="Times New Roman"/>
          <w:sz w:val="24"/>
          <w:szCs w:val="24"/>
        </w:rPr>
        <w:t>、</w:t>
      </w:r>
      <w:r>
        <w:rPr>
          <w:rFonts w:ascii="Times New Roman" w:hAnsi="Times New Roman" w:eastAsia="宋体" w:cs="Times New Roman"/>
          <w:sz w:val="24"/>
          <w:szCs w:val="24"/>
        </w:rPr>
        <w:t>漆渣</w:t>
      </w:r>
      <w:r>
        <w:rPr>
          <w:rFonts w:hint="eastAsia" w:ascii="Times New Roman" w:hAnsi="Times New Roman" w:eastAsia="宋体" w:cs="Times New Roman"/>
          <w:sz w:val="24"/>
          <w:szCs w:val="24"/>
        </w:rPr>
        <w:t>、</w:t>
      </w:r>
      <w:r>
        <w:rPr>
          <w:rFonts w:ascii="Times New Roman" w:hAnsi="Times New Roman" w:eastAsia="宋体" w:cs="Times New Roman"/>
          <w:sz w:val="24"/>
          <w:szCs w:val="24"/>
        </w:rPr>
        <w:t>污泥</w:t>
      </w:r>
      <w:r>
        <w:rPr>
          <w:rFonts w:hint="eastAsia" w:ascii="Times New Roman" w:hAnsi="Times New Roman" w:eastAsia="宋体" w:cs="Times New Roman"/>
          <w:sz w:val="24"/>
          <w:szCs w:val="24"/>
        </w:rPr>
        <w:t>、</w:t>
      </w:r>
      <w:r>
        <w:rPr>
          <w:rFonts w:ascii="Times New Roman" w:hAnsi="Times New Roman" w:eastAsia="宋体" w:cs="Times New Roman"/>
          <w:sz w:val="24"/>
          <w:szCs w:val="24"/>
        </w:rPr>
        <w:t>废过滤棉</w:t>
      </w:r>
      <w:r>
        <w:rPr>
          <w:rFonts w:hint="eastAsia" w:ascii="Times New Roman" w:hAnsi="Times New Roman" w:eastAsia="宋体" w:cs="Times New Roman"/>
          <w:sz w:val="24"/>
          <w:szCs w:val="24"/>
        </w:rPr>
        <w:t>、</w:t>
      </w:r>
      <w:r>
        <w:rPr>
          <w:rFonts w:ascii="Times New Roman" w:hAnsi="Times New Roman" w:eastAsia="宋体" w:cs="Times New Roman"/>
          <w:sz w:val="24"/>
          <w:szCs w:val="24"/>
        </w:rPr>
        <w:t>废活性炭</w:t>
      </w:r>
      <w:r>
        <w:rPr>
          <w:rFonts w:hint="eastAsia" w:ascii="Times New Roman" w:hAnsi="Times New Roman" w:eastAsia="宋体" w:cs="Times New Roman"/>
          <w:sz w:val="24"/>
          <w:szCs w:val="24"/>
        </w:rPr>
        <w:t>、</w:t>
      </w:r>
      <w:r>
        <w:rPr>
          <w:rFonts w:ascii="Times New Roman" w:hAnsi="Times New Roman" w:eastAsia="宋体" w:cs="Times New Roman"/>
          <w:sz w:val="24"/>
          <w:szCs w:val="24"/>
        </w:rPr>
        <w:t>废催化剂</w:t>
      </w:r>
      <w:r>
        <w:rPr>
          <w:rFonts w:hint="eastAsia" w:ascii="Times New Roman" w:hAnsi="Times New Roman" w:eastAsia="宋体" w:cs="Times New Roman"/>
          <w:sz w:val="24"/>
          <w:szCs w:val="24"/>
        </w:rPr>
        <w:t>、</w:t>
      </w:r>
      <w:r>
        <w:rPr>
          <w:rFonts w:ascii="Times New Roman" w:hAnsi="Times New Roman" w:eastAsia="宋体" w:cs="Times New Roman"/>
          <w:sz w:val="24"/>
          <w:szCs w:val="24"/>
        </w:rPr>
        <w:t>废润滑油</w:t>
      </w:r>
      <w:r>
        <w:rPr>
          <w:rFonts w:hint="eastAsia" w:ascii="Times New Roman" w:hAnsi="Times New Roman" w:eastAsia="宋体" w:cs="Times New Roman"/>
          <w:sz w:val="24"/>
          <w:szCs w:val="24"/>
        </w:rPr>
        <w:t>、</w:t>
      </w:r>
      <w:r>
        <w:rPr>
          <w:rFonts w:ascii="Times New Roman" w:hAnsi="Times New Roman" w:eastAsia="宋体" w:cs="Times New Roman"/>
          <w:sz w:val="24"/>
          <w:szCs w:val="24"/>
        </w:rPr>
        <w:t>废油桶</w:t>
      </w:r>
      <w:r>
        <w:rPr>
          <w:rFonts w:hint="eastAsia" w:ascii="Times New Roman" w:hAnsi="Times New Roman" w:eastAsia="宋体" w:cs="Times New Roman"/>
          <w:sz w:val="24"/>
          <w:szCs w:val="24"/>
        </w:rPr>
        <w:t>、</w:t>
      </w:r>
      <w:r>
        <w:rPr>
          <w:rFonts w:ascii="Times New Roman" w:hAnsi="Times New Roman" w:eastAsia="宋体" w:cs="Times New Roman"/>
          <w:sz w:val="24"/>
          <w:szCs w:val="24"/>
        </w:rPr>
        <w:t>危险废包装物</w:t>
      </w:r>
      <w:r>
        <w:rPr>
          <w:rFonts w:hint="eastAsia" w:ascii="Times New Roman" w:hAnsi="Times New Roman" w:eastAsia="宋体" w:cs="Times New Roman"/>
          <w:sz w:val="24"/>
          <w:szCs w:val="24"/>
        </w:rPr>
        <w:t>、</w:t>
      </w:r>
      <w:r>
        <w:rPr>
          <w:rFonts w:ascii="Times New Roman" w:hAnsi="Times New Roman" w:eastAsia="宋体" w:cs="Times New Roman"/>
          <w:sz w:val="24"/>
          <w:szCs w:val="24"/>
        </w:rPr>
        <w:t>含油废抹布</w:t>
      </w:r>
      <w:r>
        <w:rPr>
          <w:rFonts w:hint="eastAsia" w:ascii="Times New Roman" w:hAnsi="Times New Roman" w:eastAsia="宋体" w:cs="Times New Roman"/>
          <w:sz w:val="24"/>
          <w:szCs w:val="24"/>
        </w:rPr>
        <w:t>分类收集后</w:t>
      </w:r>
      <w:r>
        <w:rPr>
          <w:rFonts w:ascii="Times New Roman" w:hAnsi="Times New Roman" w:eastAsia="宋体" w:cs="Times New Roman"/>
          <w:sz w:val="24"/>
          <w:szCs w:val="24"/>
        </w:rPr>
        <w:t>定期委托台州市德长环保有限公司处置。</w:t>
      </w:r>
    </w:p>
    <w:p w14:paraId="555071FC">
      <w:pPr>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eastAsia="宋体" w:cs="Times New Roman"/>
          <w:sz w:val="24"/>
          <w:szCs w:val="24"/>
        </w:rPr>
      </w:pPr>
      <w:r>
        <w:rPr>
          <w:rFonts w:ascii="Times New Roman" w:hAnsi="Times New Roman" w:eastAsia="宋体" w:cs="Times New Roman"/>
          <w:sz w:val="24"/>
          <w:szCs w:val="24"/>
        </w:rPr>
        <w:t>一般固废：设置一般固废暂存仓库，位于1#车间1F西侧，面积约为20m</w:t>
      </w:r>
      <w:r>
        <w:rPr>
          <w:rFonts w:ascii="Times New Roman" w:hAnsi="Times New Roman" w:eastAsia="宋体" w:cs="Times New Roman"/>
          <w:sz w:val="24"/>
          <w:szCs w:val="24"/>
          <w:vertAlign w:val="superscript"/>
        </w:rPr>
        <w:t>2</w:t>
      </w:r>
      <w:r>
        <w:rPr>
          <w:rFonts w:ascii="Times New Roman" w:hAnsi="Times New Roman" w:eastAsia="宋体" w:cs="Times New Roman"/>
          <w:sz w:val="24"/>
          <w:szCs w:val="24"/>
        </w:rPr>
        <w:t>，金属边角料</w:t>
      </w:r>
      <w:r>
        <w:rPr>
          <w:rFonts w:hint="eastAsia" w:ascii="Times New Roman" w:hAnsi="Times New Roman" w:eastAsia="宋体" w:cs="Times New Roman"/>
          <w:sz w:val="24"/>
          <w:szCs w:val="24"/>
        </w:rPr>
        <w:t>、</w:t>
      </w:r>
      <w:r>
        <w:rPr>
          <w:rFonts w:ascii="Times New Roman" w:hAnsi="Times New Roman" w:eastAsia="宋体" w:cs="Times New Roman"/>
          <w:sz w:val="24"/>
          <w:szCs w:val="24"/>
        </w:rPr>
        <w:t>抛光沉渣</w:t>
      </w:r>
      <w:r>
        <w:rPr>
          <w:rFonts w:hint="eastAsia" w:ascii="Times New Roman" w:hAnsi="Times New Roman" w:eastAsia="宋体" w:cs="Times New Roman"/>
          <w:sz w:val="24"/>
          <w:szCs w:val="24"/>
        </w:rPr>
        <w:t>、</w:t>
      </w:r>
      <w:r>
        <w:rPr>
          <w:rFonts w:ascii="Times New Roman" w:hAnsi="Times New Roman" w:eastAsia="宋体" w:cs="Times New Roman"/>
          <w:sz w:val="24"/>
          <w:szCs w:val="24"/>
        </w:rPr>
        <w:t>废砂带</w:t>
      </w:r>
      <w:r>
        <w:rPr>
          <w:rFonts w:hint="eastAsia" w:ascii="Times New Roman" w:hAnsi="Times New Roman" w:eastAsia="宋体" w:cs="Times New Roman"/>
          <w:sz w:val="24"/>
          <w:szCs w:val="24"/>
        </w:rPr>
        <w:t>、</w:t>
      </w:r>
      <w:r>
        <w:rPr>
          <w:rFonts w:ascii="Times New Roman" w:hAnsi="Times New Roman" w:eastAsia="宋体" w:cs="Times New Roman"/>
          <w:sz w:val="24"/>
          <w:szCs w:val="24"/>
        </w:rPr>
        <w:t>一般废包装物定期外售给物资单位。</w:t>
      </w:r>
    </w:p>
    <w:p w14:paraId="1B47D35F">
      <w:pPr>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eastAsia="宋体" w:cs="Times New Roman"/>
          <w:sz w:val="24"/>
          <w:szCs w:val="24"/>
        </w:rPr>
      </w:pPr>
      <w:r>
        <w:rPr>
          <w:rFonts w:ascii="Times New Roman" w:hAnsi="Times New Roman" w:eastAsia="宋体" w:cs="Times New Roman"/>
          <w:sz w:val="24"/>
          <w:szCs w:val="24"/>
        </w:rPr>
        <w:t>生活垃圾：依托生活垃圾桶，委托环卫部门处置。</w:t>
      </w:r>
    </w:p>
    <w:p w14:paraId="350A309D">
      <w:pPr>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5、</w:t>
      </w:r>
      <w:r>
        <w:rPr>
          <w:rFonts w:ascii="Times New Roman" w:hAnsi="Times New Roman" w:eastAsia="宋体" w:cs="Times New Roman"/>
          <w:sz w:val="24"/>
          <w:szCs w:val="24"/>
        </w:rPr>
        <w:t>污染物排放总量</w:t>
      </w:r>
    </w:p>
    <w:p w14:paraId="4107525A">
      <w:pPr>
        <w:keepNext w:val="0"/>
        <w:keepLines w:val="0"/>
        <w:pageBreakBefore w:val="0"/>
        <w:kinsoku/>
        <w:wordWrap/>
        <w:overflowPunct/>
        <w:topLinePunct w:val="0"/>
        <w:bidi w:val="0"/>
        <w:adjustRightInd w:val="0"/>
        <w:snapToGrid w:val="0"/>
        <w:spacing w:line="336" w:lineRule="auto"/>
        <w:ind w:firstLine="480" w:firstLineChars="200"/>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本项目污染物排放量COD</w:t>
      </w:r>
      <w:r>
        <w:rPr>
          <w:rFonts w:hint="eastAsia" w:ascii="Times New Roman" w:hAnsi="Times New Roman" w:eastAsia="宋体" w:cs="Times New Roman"/>
          <w:sz w:val="24"/>
          <w:szCs w:val="24"/>
          <w:vertAlign w:val="subscript"/>
        </w:rPr>
        <w:t>Cr</w:t>
      </w:r>
      <w:r>
        <w:rPr>
          <w:rFonts w:hint="eastAsia" w:ascii="Times New Roman" w:hAnsi="Times New Roman" w:eastAsia="宋体" w:cs="Times New Roman"/>
          <w:sz w:val="24"/>
          <w:szCs w:val="24"/>
        </w:rPr>
        <w:t>0.090吨/年、NH</w:t>
      </w:r>
      <w:r>
        <w:rPr>
          <w:rFonts w:hint="eastAsia" w:ascii="Times New Roman" w:hAnsi="Times New Roman" w:eastAsia="宋体" w:cs="Times New Roman"/>
          <w:sz w:val="24"/>
          <w:szCs w:val="24"/>
          <w:vertAlign w:val="subscript"/>
        </w:rPr>
        <w:t>3</w:t>
      </w:r>
      <w:r>
        <w:rPr>
          <w:rFonts w:hint="eastAsia" w:ascii="Times New Roman" w:hAnsi="Times New Roman" w:eastAsia="宋体" w:cs="Times New Roman"/>
          <w:sz w:val="24"/>
          <w:szCs w:val="24"/>
        </w:rPr>
        <w:t>-N0.004吨/年、颗粒物0.332吨/年、VOC</w:t>
      </w:r>
      <w:r>
        <w:rPr>
          <w:rFonts w:hint="eastAsia" w:ascii="Times New Roman" w:hAnsi="Times New Roman" w:eastAsia="宋体" w:cs="Times New Roman"/>
          <w:sz w:val="24"/>
          <w:szCs w:val="24"/>
          <w:vertAlign w:val="subscript"/>
        </w:rPr>
        <w:t>S</w:t>
      </w:r>
      <w:r>
        <w:rPr>
          <w:rFonts w:hint="eastAsia" w:ascii="Times New Roman" w:hAnsi="Times New Roman" w:eastAsia="宋体" w:cs="Times New Roman"/>
          <w:sz w:val="24"/>
          <w:szCs w:val="24"/>
        </w:rPr>
        <w:t>0.239吨/年、二氧化硫0.028吨/年、氮氧化物0.258吨/年，符合环评批复中主要污染物排放总量控制指标“COD</w:t>
      </w:r>
      <w:r>
        <w:rPr>
          <w:rFonts w:hint="eastAsia" w:ascii="Times New Roman" w:hAnsi="Times New Roman" w:eastAsia="宋体" w:cs="Times New Roman"/>
          <w:sz w:val="24"/>
          <w:szCs w:val="24"/>
          <w:vertAlign w:val="subscript"/>
        </w:rPr>
        <w:t>Cr</w:t>
      </w:r>
      <w:r>
        <w:rPr>
          <w:rFonts w:hint="eastAsia" w:ascii="Times New Roman" w:hAnsi="Times New Roman" w:eastAsia="宋体" w:cs="Times New Roman"/>
          <w:sz w:val="24"/>
          <w:szCs w:val="24"/>
        </w:rPr>
        <w:t>0.100吨/年、NH</w:t>
      </w:r>
      <w:r>
        <w:rPr>
          <w:rFonts w:hint="eastAsia" w:ascii="Times New Roman" w:hAnsi="Times New Roman" w:eastAsia="宋体" w:cs="Times New Roman"/>
          <w:sz w:val="24"/>
          <w:szCs w:val="24"/>
          <w:vertAlign w:val="subscript"/>
        </w:rPr>
        <w:t>3</w:t>
      </w:r>
      <w:r>
        <w:rPr>
          <w:rFonts w:hint="eastAsia" w:ascii="Times New Roman" w:hAnsi="Times New Roman" w:eastAsia="宋体" w:cs="Times New Roman"/>
          <w:sz w:val="24"/>
          <w:szCs w:val="24"/>
        </w:rPr>
        <w:t>-N0.007吨/年、颗粒物2.507吨/年、VOC</w:t>
      </w:r>
      <w:r>
        <w:rPr>
          <w:rFonts w:hint="eastAsia" w:ascii="Times New Roman" w:hAnsi="Times New Roman" w:eastAsia="宋体" w:cs="Times New Roman"/>
          <w:sz w:val="24"/>
          <w:szCs w:val="24"/>
          <w:vertAlign w:val="subscript"/>
        </w:rPr>
        <w:t>S</w:t>
      </w:r>
      <w:r>
        <w:rPr>
          <w:rFonts w:hint="eastAsia" w:ascii="Times New Roman" w:hAnsi="Times New Roman" w:eastAsia="宋体" w:cs="Times New Roman"/>
          <w:sz w:val="24"/>
          <w:szCs w:val="24"/>
        </w:rPr>
        <w:t>0.697吨/年、二氧化硫0.030吨/年、氮氧化物0.281吨/年”的总量控制要求</w:t>
      </w:r>
      <w:r>
        <w:rPr>
          <w:rFonts w:ascii="Times New Roman" w:hAnsi="Times New Roman" w:eastAsia="宋体" w:cs="Times New Roman"/>
          <w:sz w:val="24"/>
          <w:szCs w:val="24"/>
        </w:rPr>
        <w:t>。</w:t>
      </w:r>
    </w:p>
    <w:p w14:paraId="4197431C">
      <w:pPr>
        <w:keepNext w:val="0"/>
        <w:keepLines w:val="0"/>
        <w:pageBreakBefore w:val="0"/>
        <w:kinsoku/>
        <w:wordWrap/>
        <w:overflowPunct/>
        <w:topLinePunct w:val="0"/>
        <w:bidi w:val="0"/>
        <w:adjustRightInd w:val="0"/>
        <w:snapToGrid w:val="0"/>
        <w:spacing w:line="336" w:lineRule="auto"/>
        <w:ind w:firstLine="482" w:firstLineChars="200"/>
        <w:textAlignment w:val="auto"/>
        <w:rPr>
          <w:rFonts w:ascii="Times New Roman" w:hAnsi="Times New Roman" w:eastAsia="宋体" w:cs="Times New Roman"/>
          <w:b/>
          <w:sz w:val="24"/>
          <w:szCs w:val="24"/>
        </w:rPr>
      </w:pPr>
      <w:r>
        <w:rPr>
          <w:rFonts w:ascii="Times New Roman" w:hAnsi="Times New Roman" w:eastAsia="宋体" w:cs="Times New Roman"/>
          <w:b/>
          <w:sz w:val="24"/>
          <w:szCs w:val="24"/>
        </w:rPr>
        <w:t>五、工程建设对环境的影响</w:t>
      </w:r>
    </w:p>
    <w:p w14:paraId="0A198A9E">
      <w:pPr>
        <w:keepNext w:val="0"/>
        <w:keepLines w:val="0"/>
        <w:pageBreakBefore w:val="0"/>
        <w:kinsoku/>
        <w:wordWrap/>
        <w:overflowPunct/>
        <w:topLinePunct w:val="0"/>
        <w:bidi w:val="0"/>
        <w:adjustRightInd w:val="0"/>
        <w:snapToGrid w:val="0"/>
        <w:spacing w:line="336" w:lineRule="auto"/>
        <w:ind w:firstLine="480" w:firstLineChars="200"/>
        <w:textAlignment w:val="auto"/>
        <w:rPr>
          <w:kern w:val="0"/>
          <w:sz w:val="24"/>
        </w:rPr>
      </w:pPr>
      <w:r>
        <w:rPr>
          <w:rFonts w:hAnsi="宋体"/>
          <w:kern w:val="0"/>
          <w:sz w:val="24"/>
        </w:rPr>
        <w:t>验收监测期间，环境符合《声环境质量标准》</w:t>
      </w:r>
      <w:r>
        <w:rPr>
          <w:kern w:val="0"/>
          <w:sz w:val="24"/>
        </w:rPr>
        <w:t>GB3096-2008</w:t>
      </w:r>
      <w:r>
        <w:rPr>
          <w:rFonts w:hAnsi="宋体"/>
          <w:kern w:val="0"/>
          <w:sz w:val="24"/>
        </w:rPr>
        <w:t>中</w:t>
      </w:r>
      <w:r>
        <w:rPr>
          <w:kern w:val="0"/>
          <w:sz w:val="24"/>
        </w:rPr>
        <w:t>2</w:t>
      </w:r>
      <w:r>
        <w:rPr>
          <w:rFonts w:hAnsi="宋体"/>
          <w:kern w:val="0"/>
          <w:sz w:val="24"/>
        </w:rPr>
        <w:t>类标准要求，未对周边环境造成影响</w:t>
      </w:r>
      <w:r>
        <w:rPr>
          <w:rFonts w:hint="eastAsia" w:hAnsi="宋体"/>
          <w:kern w:val="0"/>
          <w:sz w:val="24"/>
        </w:rPr>
        <w:t>，</w:t>
      </w:r>
      <w:r>
        <w:rPr>
          <w:rFonts w:hint="eastAsia"/>
          <w:sz w:val="24"/>
        </w:rPr>
        <w:t>居民区外非甲烷总烃符合《大气污染物综合排放标准详解》中限值要求，总悬浮颗粒物的最大日均值符合《环境空气质量标准》（GB 3095-2012）二级限值要求。</w:t>
      </w:r>
      <w:r>
        <w:rPr>
          <w:rFonts w:hint="eastAsia" w:hAnsi="宋体"/>
          <w:kern w:val="0"/>
          <w:sz w:val="24"/>
        </w:rPr>
        <w:t>经</w:t>
      </w:r>
      <w:r>
        <w:rPr>
          <w:rFonts w:hAnsi="宋体"/>
          <w:kern w:val="0"/>
          <w:sz w:val="24"/>
        </w:rPr>
        <w:t>对环境敏感保护目标要求进行环境质量监测，根据项目验收监测结果分析可知，项目废水、废气及噪声均可达标排放、固废妥善处置，对周边环境影响不大。</w:t>
      </w:r>
    </w:p>
    <w:p w14:paraId="68F227C0">
      <w:pPr>
        <w:keepNext w:val="0"/>
        <w:keepLines w:val="0"/>
        <w:pageBreakBefore w:val="0"/>
        <w:kinsoku/>
        <w:wordWrap/>
        <w:overflowPunct/>
        <w:topLinePunct w:val="0"/>
        <w:bidi w:val="0"/>
        <w:adjustRightInd w:val="0"/>
        <w:snapToGrid w:val="0"/>
        <w:spacing w:line="336" w:lineRule="auto"/>
        <w:ind w:firstLine="482" w:firstLineChars="200"/>
        <w:textAlignment w:val="auto"/>
        <w:rPr>
          <w:rFonts w:ascii="Times New Roman" w:hAnsi="Times New Roman" w:eastAsia="宋体" w:cs="Times New Roman"/>
          <w:b/>
          <w:sz w:val="24"/>
          <w:szCs w:val="24"/>
        </w:rPr>
      </w:pPr>
      <w:r>
        <w:rPr>
          <w:rFonts w:ascii="Times New Roman" w:hAnsi="Times New Roman" w:eastAsia="宋体" w:cs="Times New Roman"/>
          <w:b/>
          <w:sz w:val="24"/>
          <w:szCs w:val="24"/>
        </w:rPr>
        <w:t>六、验收结论</w:t>
      </w:r>
      <w:bookmarkStart w:id="1" w:name="_GoBack"/>
      <w:bookmarkEnd w:id="1"/>
    </w:p>
    <w:p w14:paraId="5ECFC9AB">
      <w:pPr>
        <w:pStyle w:val="20"/>
        <w:keepNext w:val="0"/>
        <w:keepLines w:val="0"/>
        <w:pageBreakBefore w:val="0"/>
        <w:kinsoku/>
        <w:wordWrap/>
        <w:overflowPunct/>
        <w:topLinePunct w:val="0"/>
        <w:bidi w:val="0"/>
        <w:adjustRightInd w:val="0"/>
        <w:snapToGrid w:val="0"/>
        <w:spacing w:line="336" w:lineRule="auto"/>
        <w:ind w:firstLine="480" w:firstLineChars="200"/>
        <w:jc w:val="both"/>
        <w:textAlignment w:val="auto"/>
        <w:rPr>
          <w:rFonts w:ascii="Times New Roman" w:hAnsi="Times New Roman" w:cs="Times New Roman"/>
          <w:color w:val="auto"/>
        </w:rPr>
      </w:pPr>
      <w:r>
        <w:rPr>
          <w:rFonts w:hint="eastAsia" w:ascii="Times New Roman" w:hAnsi="Times New Roman" w:cs="Times New Roman"/>
          <w:color w:val="auto"/>
        </w:rPr>
        <w:t>武义嘉新金属制品有限公司组织年产350万套咖啡壶技改项目（2024年环评补充说明）环境保护竣工验收，本次验收项目</w:t>
      </w:r>
      <w:r>
        <w:rPr>
          <w:rFonts w:ascii="Times New Roman" w:hAnsi="Times New Roman" w:cs="Times New Roman"/>
          <w:color w:val="auto"/>
        </w:rPr>
        <w:t>审批手续完备，已实施的项目执行了环保</w:t>
      </w:r>
      <w:r>
        <w:rPr>
          <w:rFonts w:hint="eastAsia" w:hAnsi="宋体"/>
          <w:color w:val="auto"/>
        </w:rPr>
        <w:t>“三同时”</w:t>
      </w:r>
      <w:r>
        <w:rPr>
          <w:rFonts w:ascii="Times New Roman" w:hAnsi="Times New Roman" w:cs="Times New Roman"/>
          <w:color w:val="auto"/>
        </w:rPr>
        <w:t>的要求，验收资料基本齐全，环境保护措施均已按照环评及批复的要求建成，基本建立了各类环保管理制度，各主要污染物指标达到相应污染物排放标准的要求，符合环评及批复要求，没有《建设项目竣工环境保护验收暂行办法》（国环规环评[2017]4号）中所规定的验收不合格情形，</w:t>
      </w:r>
      <w:r>
        <w:rPr>
          <w:rFonts w:hint="eastAsia" w:ascii="Times New Roman" w:hAnsi="Times New Roman" w:cs="Times New Roman"/>
          <w:color w:val="auto"/>
        </w:rPr>
        <w:t>验收组原则同意通过本次竣工</w:t>
      </w:r>
      <w:r>
        <w:rPr>
          <w:rFonts w:ascii="Times New Roman" w:hAnsi="Times New Roman" w:cs="Times New Roman"/>
          <w:color w:val="auto"/>
        </w:rPr>
        <w:t>环境保护设施验收。</w:t>
      </w:r>
    </w:p>
    <w:p w14:paraId="5F0554C0">
      <w:pPr>
        <w:spacing w:line="360" w:lineRule="auto"/>
        <w:ind w:firstLine="482" w:firstLineChars="200"/>
        <w:rPr>
          <w:rFonts w:ascii="Times New Roman" w:hAnsi="Times New Roman" w:eastAsia="宋体" w:cs="Times New Roman"/>
          <w:b/>
          <w:sz w:val="24"/>
          <w:szCs w:val="24"/>
        </w:rPr>
      </w:pPr>
      <w:r>
        <w:rPr>
          <w:rFonts w:ascii="Times New Roman" w:hAnsi="Times New Roman" w:eastAsia="宋体" w:cs="Times New Roman"/>
          <w:b/>
          <w:sz w:val="24"/>
          <w:szCs w:val="24"/>
        </w:rPr>
        <w:t>七、后续要求</w:t>
      </w:r>
    </w:p>
    <w:p w14:paraId="0913B650">
      <w:pPr>
        <w:pStyle w:val="7"/>
        <w:spacing w:after="0" w:line="360" w:lineRule="auto"/>
        <w:ind w:firstLine="480" w:firstLineChars="200"/>
        <w:rPr>
          <w:sz w:val="24"/>
        </w:rPr>
      </w:pPr>
      <w:r>
        <w:rPr>
          <w:rFonts w:hint="eastAsia"/>
          <w:sz w:val="24"/>
        </w:rPr>
        <w:t>1、资料</w:t>
      </w:r>
    </w:p>
    <w:p w14:paraId="6C0D05C1">
      <w:pPr>
        <w:pStyle w:val="7"/>
        <w:adjustRightInd w:val="0"/>
        <w:snapToGrid w:val="0"/>
        <w:spacing w:after="0" w:line="360" w:lineRule="auto"/>
        <w:ind w:firstLine="480" w:firstLineChars="200"/>
        <w:rPr>
          <w:sz w:val="24"/>
        </w:rPr>
      </w:pPr>
      <w:r>
        <w:rPr>
          <w:sz w:val="24"/>
        </w:rPr>
        <w:t>（</w:t>
      </w:r>
      <w:r>
        <w:rPr>
          <w:rFonts w:hint="eastAsia"/>
          <w:sz w:val="24"/>
        </w:rPr>
        <w:t>1）</w:t>
      </w:r>
      <w:r>
        <w:rPr>
          <w:rFonts w:hAnsi="宋体"/>
          <w:kern w:val="0"/>
          <w:sz w:val="24"/>
        </w:rPr>
        <w:t>依照有关验收监测技术规范，完善竣工验收监测报告现场污染防治设施图片；后续按要求落实验收公示及信息平台申报等相关工作，并完善项目竣工环保验收档案资料。</w:t>
      </w:r>
    </w:p>
    <w:p w14:paraId="0133593C">
      <w:pPr>
        <w:pStyle w:val="8"/>
        <w:spacing w:after="0" w:line="360" w:lineRule="auto"/>
        <w:ind w:firstLine="420"/>
      </w:pPr>
      <w:r>
        <w:rPr>
          <w:rFonts w:hint="eastAsia"/>
        </w:rPr>
        <w:t>（2）</w:t>
      </w:r>
      <w:r>
        <w:rPr>
          <w:sz w:val="24"/>
        </w:rPr>
        <w:t>验收监测单位按照《建设项目竣工环境保护验收技术指南 污染影响类》在要求进一步完善验收监测报告相关附图件</w:t>
      </w:r>
      <w:r>
        <w:rPr>
          <w:rFonts w:hint="eastAsia"/>
          <w:sz w:val="24"/>
        </w:rPr>
        <w:t>，</w:t>
      </w:r>
      <w:r>
        <w:rPr>
          <w:sz w:val="24"/>
        </w:rPr>
        <w:t>落实后续工作。</w:t>
      </w:r>
    </w:p>
    <w:p w14:paraId="3BA0609A">
      <w:pPr>
        <w:pStyle w:val="7"/>
        <w:spacing w:after="0" w:line="360" w:lineRule="auto"/>
        <w:ind w:firstLine="480" w:firstLineChars="200"/>
        <w:rPr>
          <w:sz w:val="24"/>
        </w:rPr>
      </w:pPr>
      <w:r>
        <w:rPr>
          <w:rFonts w:hint="eastAsia"/>
          <w:sz w:val="24"/>
        </w:rPr>
        <w:t>2、现场</w:t>
      </w:r>
    </w:p>
    <w:p w14:paraId="7D7F0CF6">
      <w:pPr>
        <w:pStyle w:val="8"/>
        <w:ind w:firstLine="420"/>
        <w:rPr>
          <w:color w:val="FF0000"/>
        </w:rPr>
      </w:pPr>
      <w:r>
        <w:rPr>
          <w:rFonts w:hint="eastAsia"/>
        </w:rPr>
        <w:t>（1）</w:t>
      </w:r>
      <w:r>
        <w:rPr>
          <w:rFonts w:hint="eastAsia"/>
          <w:sz w:val="24"/>
        </w:rPr>
        <w:t>加强各环保设施废气处理设施标识标牌、运行管理，并落实运行台账记录。</w:t>
      </w:r>
    </w:p>
    <w:p w14:paraId="02D81E00">
      <w:pPr>
        <w:pStyle w:val="8"/>
        <w:spacing w:after="0" w:line="360" w:lineRule="auto"/>
        <w:ind w:firstLine="420"/>
      </w:pPr>
      <w:r>
        <w:rPr>
          <w:rFonts w:hint="eastAsia"/>
        </w:rPr>
        <w:t>（2）</w:t>
      </w:r>
      <w:r>
        <w:rPr>
          <w:rFonts w:hint="eastAsia"/>
          <w:sz w:val="24"/>
        </w:rPr>
        <w:t>加强固废和危险废物收集贮存，规范危废贮存库的分类堆放、防渗、防漏等规划化建设，规范标识标牌、危废台账记录，规范转移及处置。</w:t>
      </w:r>
    </w:p>
    <w:p w14:paraId="38D34D87">
      <w:pPr>
        <w:pStyle w:val="7"/>
        <w:adjustRightInd w:val="0"/>
        <w:snapToGrid w:val="0"/>
        <w:spacing w:after="0" w:line="360" w:lineRule="auto"/>
        <w:ind w:firstLine="480" w:firstLineChars="200"/>
        <w:rPr>
          <w:sz w:val="24"/>
        </w:rPr>
      </w:pPr>
      <w:r>
        <w:rPr>
          <w:rFonts w:hint="eastAsia"/>
          <w:sz w:val="24"/>
        </w:rPr>
        <w:t>（3）建立健全环保管理和责任制度，定期开展环境风险隐患排查与事故防范，确保周边环境安全。</w:t>
      </w:r>
    </w:p>
    <w:p w14:paraId="6D4718CE">
      <w:pPr>
        <w:adjustRightInd w:val="0"/>
        <w:spacing w:line="360" w:lineRule="auto"/>
        <w:ind w:firstLine="482" w:firstLineChars="200"/>
        <w:rPr>
          <w:rFonts w:ascii="Times New Roman" w:hAnsi="Times New Roman" w:eastAsia="宋体" w:cs="Times New Roman"/>
          <w:b/>
          <w:sz w:val="24"/>
          <w:szCs w:val="24"/>
        </w:rPr>
      </w:pPr>
      <w:r>
        <w:rPr>
          <w:rFonts w:ascii="Times New Roman" w:hAnsi="Times New Roman" w:eastAsia="宋体" w:cs="Times New Roman"/>
          <w:b/>
          <w:sz w:val="24"/>
          <w:szCs w:val="24"/>
        </w:rPr>
        <w:t>八、验收组人员</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4111"/>
        <w:gridCol w:w="2460"/>
      </w:tblGrid>
      <w:tr w14:paraId="0F129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center"/>
          </w:tcPr>
          <w:p w14:paraId="04246893">
            <w:pPr>
              <w:spacing w:line="360" w:lineRule="auto"/>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单位性质</w:t>
            </w:r>
          </w:p>
        </w:tc>
        <w:tc>
          <w:tcPr>
            <w:tcW w:w="4111" w:type="dxa"/>
            <w:vAlign w:val="center"/>
          </w:tcPr>
          <w:p w14:paraId="24CEBA29">
            <w:pPr>
              <w:spacing w:line="360" w:lineRule="auto"/>
              <w:jc w:val="center"/>
              <w:rPr>
                <w:rFonts w:ascii="Times New Roman" w:hAnsi="Times New Roman" w:cs="Times New Roman"/>
                <w:sz w:val="24"/>
                <w:szCs w:val="24"/>
              </w:rPr>
            </w:pPr>
            <w:r>
              <w:rPr>
                <w:rFonts w:hint="eastAsia" w:ascii="Times New Roman" w:hAnsi="Times New Roman" w:cs="Times New Roman"/>
                <w:sz w:val="24"/>
                <w:szCs w:val="24"/>
              </w:rPr>
              <w:t>单位名称</w:t>
            </w:r>
          </w:p>
        </w:tc>
        <w:tc>
          <w:tcPr>
            <w:tcW w:w="2460" w:type="dxa"/>
            <w:vAlign w:val="center"/>
          </w:tcPr>
          <w:p w14:paraId="400F5AB7">
            <w:pPr>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签</w:t>
            </w:r>
            <w:r>
              <w:rPr>
                <w:rFonts w:hint="eastAsia" w:ascii="Times New Roman" w:hAnsi="Times New Roman" w:eastAsia="宋体" w:cs="Times New Roman"/>
                <w:kern w:val="0"/>
                <w:sz w:val="24"/>
                <w:szCs w:val="24"/>
              </w:rPr>
              <w:t xml:space="preserve"> </w:t>
            </w:r>
            <w:r>
              <w:rPr>
                <w:rFonts w:ascii="Times New Roman" w:hAnsi="Times New Roman" w:eastAsia="宋体" w:cs="Times New Roman"/>
                <w:kern w:val="0"/>
                <w:sz w:val="24"/>
                <w:szCs w:val="24"/>
              </w:rPr>
              <w:t>名</w:t>
            </w:r>
          </w:p>
        </w:tc>
      </w:tr>
      <w:tr w14:paraId="7E64A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center"/>
          </w:tcPr>
          <w:p w14:paraId="3448BF8A">
            <w:pPr>
              <w:spacing w:line="360" w:lineRule="auto"/>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建设单位</w:t>
            </w:r>
          </w:p>
        </w:tc>
        <w:tc>
          <w:tcPr>
            <w:tcW w:w="4111" w:type="dxa"/>
            <w:vAlign w:val="center"/>
          </w:tcPr>
          <w:p w14:paraId="178A2D07">
            <w:pPr>
              <w:spacing w:line="360" w:lineRule="auto"/>
              <w:jc w:val="center"/>
              <w:rPr>
                <w:rFonts w:ascii="Times New Roman" w:hAnsi="Times New Roman" w:eastAsia="宋体" w:cs="Times New Roman"/>
                <w:kern w:val="0"/>
                <w:sz w:val="24"/>
                <w:szCs w:val="24"/>
              </w:rPr>
            </w:pPr>
            <w:r>
              <w:rPr>
                <w:rFonts w:hint="eastAsia" w:ascii="Times New Roman" w:hAnsi="Times New Roman" w:cs="Times New Roman"/>
                <w:sz w:val="24"/>
                <w:szCs w:val="24"/>
              </w:rPr>
              <w:t>武义嘉新金属制品有限公司</w:t>
            </w:r>
          </w:p>
        </w:tc>
        <w:tc>
          <w:tcPr>
            <w:tcW w:w="2460" w:type="dxa"/>
            <w:vAlign w:val="center"/>
          </w:tcPr>
          <w:p w14:paraId="1109F0A2">
            <w:pPr>
              <w:spacing w:line="360" w:lineRule="auto"/>
              <w:jc w:val="center"/>
              <w:rPr>
                <w:rFonts w:ascii="Times New Roman" w:hAnsi="Times New Roman" w:eastAsia="宋体" w:cs="Times New Roman"/>
                <w:kern w:val="0"/>
                <w:sz w:val="24"/>
                <w:szCs w:val="24"/>
              </w:rPr>
            </w:pPr>
          </w:p>
        </w:tc>
      </w:tr>
      <w:tr w14:paraId="5D023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center"/>
          </w:tcPr>
          <w:p w14:paraId="76BEAA2B">
            <w:pPr>
              <w:spacing w:line="360" w:lineRule="auto"/>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验收监测单位</w:t>
            </w:r>
          </w:p>
        </w:tc>
        <w:tc>
          <w:tcPr>
            <w:tcW w:w="4111" w:type="dxa"/>
            <w:vAlign w:val="center"/>
          </w:tcPr>
          <w:p w14:paraId="62F92E43">
            <w:pPr>
              <w:spacing w:line="360" w:lineRule="auto"/>
              <w:jc w:val="center"/>
              <w:rPr>
                <w:rFonts w:ascii="Times New Roman" w:hAnsi="Times New Roman" w:eastAsia="宋体" w:cs="Times New Roman"/>
                <w:kern w:val="0"/>
                <w:sz w:val="24"/>
                <w:szCs w:val="24"/>
              </w:rPr>
            </w:pPr>
            <w:r>
              <w:rPr>
                <w:rFonts w:ascii="Times New Roman" w:hAnsi="Times New Roman" w:cs="Times New Roman"/>
                <w:sz w:val="24"/>
                <w:szCs w:val="24"/>
              </w:rPr>
              <w:t>浙江高鑫安全检测科技有限公司</w:t>
            </w:r>
          </w:p>
        </w:tc>
        <w:tc>
          <w:tcPr>
            <w:tcW w:w="2460" w:type="dxa"/>
            <w:vAlign w:val="center"/>
          </w:tcPr>
          <w:p w14:paraId="28DD8B7A">
            <w:pPr>
              <w:spacing w:line="360" w:lineRule="auto"/>
              <w:jc w:val="center"/>
              <w:rPr>
                <w:rFonts w:ascii="Times New Roman" w:hAnsi="Times New Roman" w:eastAsia="宋体" w:cs="Times New Roman"/>
                <w:kern w:val="0"/>
                <w:sz w:val="24"/>
                <w:szCs w:val="24"/>
              </w:rPr>
            </w:pPr>
          </w:p>
        </w:tc>
      </w:tr>
      <w:tr w14:paraId="1E9E7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center"/>
          </w:tcPr>
          <w:p w14:paraId="1B2B1F92">
            <w:pPr>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废水治理设计、调试单位</w:t>
            </w:r>
          </w:p>
        </w:tc>
        <w:tc>
          <w:tcPr>
            <w:tcW w:w="4111" w:type="dxa"/>
            <w:vAlign w:val="center"/>
          </w:tcPr>
          <w:p w14:paraId="5845E7AF">
            <w:pPr>
              <w:jc w:val="center"/>
              <w:rPr>
                <w:rFonts w:ascii="Times New Roman" w:hAnsi="Times New Roman" w:cs="Times New Roman"/>
                <w:sz w:val="24"/>
                <w:szCs w:val="24"/>
              </w:rPr>
            </w:pPr>
            <w:r>
              <w:rPr>
                <w:rFonts w:hint="eastAsia" w:ascii="Times New Roman" w:hAnsi="Times New Roman" w:cs="Times New Roman"/>
                <w:sz w:val="24"/>
                <w:szCs w:val="24"/>
              </w:rPr>
              <w:t>永康市</w:t>
            </w:r>
            <w:r>
              <w:rPr>
                <w:rFonts w:ascii="Times New Roman" w:hAnsi="Times New Roman" w:cs="Times New Roman"/>
                <w:sz w:val="24"/>
                <w:szCs w:val="24"/>
              </w:rPr>
              <w:t>广多环保设备科技有限公司</w:t>
            </w:r>
          </w:p>
        </w:tc>
        <w:tc>
          <w:tcPr>
            <w:tcW w:w="2460" w:type="dxa"/>
            <w:vAlign w:val="center"/>
          </w:tcPr>
          <w:p w14:paraId="1B1591A1">
            <w:pPr>
              <w:jc w:val="center"/>
              <w:rPr>
                <w:rFonts w:ascii="Times New Roman" w:hAnsi="Times New Roman" w:eastAsia="宋体" w:cs="Times New Roman"/>
                <w:kern w:val="0"/>
                <w:sz w:val="24"/>
                <w:szCs w:val="24"/>
              </w:rPr>
            </w:pPr>
          </w:p>
        </w:tc>
      </w:tr>
      <w:tr w14:paraId="1BBF7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center"/>
          </w:tcPr>
          <w:p w14:paraId="3716605D">
            <w:pPr>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废气治理设计、调试单位</w:t>
            </w:r>
          </w:p>
        </w:tc>
        <w:tc>
          <w:tcPr>
            <w:tcW w:w="4111" w:type="dxa"/>
            <w:vAlign w:val="center"/>
          </w:tcPr>
          <w:p w14:paraId="7C8DB723">
            <w:pPr>
              <w:jc w:val="center"/>
              <w:rPr>
                <w:rFonts w:ascii="Times New Roman" w:hAnsi="Times New Roman" w:eastAsia="宋体" w:cs="Times New Roman"/>
                <w:kern w:val="0"/>
                <w:sz w:val="24"/>
                <w:szCs w:val="24"/>
              </w:rPr>
            </w:pPr>
            <w:r>
              <w:rPr>
                <w:rFonts w:hint="eastAsia" w:ascii="Times New Roman" w:hAnsi="Times New Roman" w:cs="Times New Roman"/>
                <w:sz w:val="24"/>
                <w:szCs w:val="24"/>
              </w:rPr>
              <w:t>杭州逸臻环保设备有限公司</w:t>
            </w:r>
          </w:p>
        </w:tc>
        <w:tc>
          <w:tcPr>
            <w:tcW w:w="2460" w:type="dxa"/>
            <w:vAlign w:val="center"/>
          </w:tcPr>
          <w:p w14:paraId="2CD9504C">
            <w:pPr>
              <w:jc w:val="center"/>
              <w:rPr>
                <w:rFonts w:ascii="Times New Roman" w:hAnsi="Times New Roman" w:eastAsia="宋体" w:cs="Times New Roman"/>
                <w:kern w:val="0"/>
                <w:sz w:val="24"/>
                <w:szCs w:val="24"/>
              </w:rPr>
            </w:pPr>
          </w:p>
        </w:tc>
      </w:tr>
      <w:tr w14:paraId="67044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center"/>
          </w:tcPr>
          <w:p w14:paraId="5689FCBB">
            <w:pPr>
              <w:spacing w:line="360" w:lineRule="auto"/>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技术专家</w:t>
            </w:r>
          </w:p>
        </w:tc>
        <w:tc>
          <w:tcPr>
            <w:tcW w:w="6571" w:type="dxa"/>
            <w:gridSpan w:val="2"/>
            <w:vAlign w:val="center"/>
          </w:tcPr>
          <w:p w14:paraId="2AE78241">
            <w:pPr>
              <w:spacing w:line="360" w:lineRule="auto"/>
              <w:jc w:val="center"/>
              <w:rPr>
                <w:rFonts w:ascii="Times New Roman" w:hAnsi="Times New Roman" w:eastAsia="宋体" w:cs="Times New Roman"/>
                <w:kern w:val="0"/>
                <w:sz w:val="24"/>
                <w:szCs w:val="24"/>
              </w:rPr>
            </w:pPr>
          </w:p>
        </w:tc>
      </w:tr>
    </w:tbl>
    <w:p w14:paraId="3B35C65E">
      <w:pPr>
        <w:spacing w:line="360" w:lineRule="auto"/>
        <w:rPr>
          <w:rFonts w:ascii="Times New Roman" w:hAnsi="Times New Roman" w:eastAsia="宋体" w:cs="Times New Roman"/>
          <w:kern w:val="0"/>
          <w:sz w:val="24"/>
          <w:szCs w:val="24"/>
        </w:rPr>
      </w:pPr>
    </w:p>
    <w:p w14:paraId="02344337">
      <w:pPr>
        <w:spacing w:line="360" w:lineRule="auto"/>
        <w:rPr>
          <w:rFonts w:ascii="Times New Roman" w:hAnsi="Times New Roman" w:eastAsia="宋体" w:cs="Times New Roman"/>
          <w:kern w:val="0"/>
          <w:sz w:val="24"/>
          <w:szCs w:val="24"/>
        </w:rPr>
      </w:pPr>
    </w:p>
    <w:p w14:paraId="03A05331">
      <w:pPr>
        <w:spacing w:line="360" w:lineRule="auto"/>
        <w:ind w:firstLine="482" w:firstLineChars="200"/>
        <w:jc w:val="right"/>
        <w:rPr>
          <w:rFonts w:ascii="Times New Roman" w:hAnsi="Times New Roman" w:eastAsia="宋体" w:cs="Times New Roman"/>
          <w:b/>
          <w:kern w:val="0"/>
          <w:sz w:val="24"/>
          <w:szCs w:val="24"/>
        </w:rPr>
      </w:pPr>
      <w:r>
        <w:rPr>
          <w:rFonts w:hint="eastAsia" w:ascii="Times New Roman" w:hAnsi="Times New Roman" w:eastAsia="宋体" w:cs="Times New Roman"/>
          <w:b/>
          <w:kern w:val="0"/>
          <w:sz w:val="24"/>
          <w:szCs w:val="24"/>
        </w:rPr>
        <w:t>武义嘉新金属制品有限公司(盖章)</w:t>
      </w:r>
    </w:p>
    <w:p w14:paraId="7096ED86">
      <w:pPr>
        <w:spacing w:line="360" w:lineRule="auto"/>
        <w:ind w:firstLine="482" w:firstLineChars="200"/>
        <w:jc w:val="right"/>
        <w:rPr>
          <w:rFonts w:ascii="Times New Roman" w:hAnsi="Times New Roman" w:eastAsia="宋体" w:cs="Times New Roman"/>
          <w:b/>
          <w:kern w:val="0"/>
          <w:sz w:val="24"/>
          <w:szCs w:val="24"/>
        </w:rPr>
      </w:pPr>
      <w:r>
        <w:rPr>
          <w:rFonts w:hint="eastAsia" w:ascii="Times New Roman" w:hAnsi="Times New Roman" w:eastAsia="宋体" w:cs="Times New Roman"/>
          <w:b/>
          <w:kern w:val="0"/>
          <w:sz w:val="24"/>
          <w:szCs w:val="24"/>
        </w:rPr>
        <w:t>2025年4</w:t>
      </w:r>
      <w:r>
        <w:rPr>
          <w:rFonts w:ascii="Times New Roman" w:hAnsi="Times New Roman" w:eastAsia="宋体" w:cs="Times New Roman"/>
          <w:b/>
          <w:kern w:val="0"/>
          <w:sz w:val="24"/>
          <w:szCs w:val="24"/>
        </w:rPr>
        <w:t>月</w:t>
      </w:r>
      <w:r>
        <w:rPr>
          <w:rFonts w:hint="eastAsia" w:ascii="Times New Roman" w:hAnsi="Times New Roman" w:eastAsia="宋体" w:cs="Times New Roman"/>
          <w:b/>
          <w:kern w:val="0"/>
          <w:sz w:val="24"/>
          <w:szCs w:val="24"/>
        </w:rPr>
        <w:t xml:space="preserve"> 3</w:t>
      </w:r>
      <w:r>
        <w:rPr>
          <w:rFonts w:ascii="Times New Roman" w:hAnsi="Times New Roman" w:eastAsia="宋体" w:cs="Times New Roman"/>
          <w:b/>
          <w:kern w:val="0"/>
          <w:sz w:val="24"/>
          <w:szCs w:val="24"/>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ˎ̥">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03753764"/>
    </w:sdtPr>
    <w:sdtContent>
      <w:p w14:paraId="61E2A266">
        <w:pPr>
          <w:pStyle w:val="12"/>
          <w:jc w:val="center"/>
        </w:pPr>
        <w:r>
          <w:fldChar w:fldCharType="begin"/>
        </w:r>
        <w:r>
          <w:instrText xml:space="preserve">PAGE   \* MERGEFORMAT</w:instrText>
        </w:r>
        <w:r>
          <w:fldChar w:fldCharType="separate"/>
        </w:r>
        <w:r>
          <w:rPr>
            <w:lang w:val="zh-CN"/>
          </w:rPr>
          <w:t>6</w:t>
        </w:r>
        <w:r>
          <w:fldChar w:fldCharType="end"/>
        </w:r>
      </w:p>
    </w:sdtContent>
  </w:sdt>
  <w:p w14:paraId="5B8CA93D">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F18C14"/>
    <w:multiLevelType w:val="multilevel"/>
    <w:tmpl w:val="59F18C14"/>
    <w:lvl w:ilvl="0" w:tentative="0">
      <w:start w:val="1"/>
      <w:numFmt w:val="decimal"/>
      <w:suff w:val="space"/>
      <w:lvlText w:val="%1."/>
      <w:lvlJc w:val="left"/>
      <w:pPr>
        <w:tabs>
          <w:tab w:val="left" w:pos="432"/>
        </w:tabs>
        <w:ind w:left="0" w:firstLine="0"/>
      </w:pPr>
      <w:rPr>
        <w:rFonts w:hint="default" w:ascii="Times New Roman" w:hAnsi="Times New Roman" w:eastAsia="宋体" w:cs="宋体"/>
        <w:b/>
        <w:sz w:val="24"/>
      </w:rPr>
    </w:lvl>
    <w:lvl w:ilvl="1" w:tentative="0">
      <w:start w:val="1"/>
      <w:numFmt w:val="decimal"/>
      <w:pStyle w:val="2"/>
      <w:suff w:val="space"/>
      <w:lvlText w:val="%1.%2."/>
      <w:lvlJc w:val="left"/>
      <w:pPr>
        <w:tabs>
          <w:tab w:val="left" w:pos="432"/>
        </w:tabs>
        <w:ind w:left="0" w:firstLine="0"/>
      </w:pPr>
      <w:rPr>
        <w:rFonts w:hint="default" w:ascii="Times New Roman" w:hAnsi="Times New Roman" w:eastAsia="宋体" w:cs="宋体"/>
        <w:b/>
        <w:sz w:val="24"/>
      </w:rPr>
    </w:lvl>
    <w:lvl w:ilvl="2" w:tentative="0">
      <w:start w:val="1"/>
      <w:numFmt w:val="decimal"/>
      <w:pStyle w:val="3"/>
      <w:suff w:val="space"/>
      <w:lvlText w:val="%1.%2.%3."/>
      <w:lvlJc w:val="left"/>
      <w:pPr>
        <w:tabs>
          <w:tab w:val="left" w:pos="432"/>
        </w:tabs>
        <w:ind w:left="0" w:firstLine="0"/>
      </w:pPr>
      <w:rPr>
        <w:rFonts w:hint="default" w:ascii="Times New Roman" w:hAnsi="Times New Roman" w:eastAsia="宋体" w:cs="宋体"/>
        <w:b/>
        <w:sz w:val="24"/>
      </w:rPr>
    </w:lvl>
    <w:lvl w:ilvl="3" w:tentative="0">
      <w:start w:val="1"/>
      <w:numFmt w:val="decimal"/>
      <w:pStyle w:val="4"/>
      <w:suff w:val="space"/>
      <w:lvlText w:val="%1.%2.%3.%4."/>
      <w:lvlJc w:val="left"/>
      <w:pPr>
        <w:tabs>
          <w:tab w:val="left" w:pos="432"/>
        </w:tabs>
        <w:ind w:left="0" w:firstLine="0"/>
      </w:pPr>
      <w:rPr>
        <w:rFonts w:hint="default" w:ascii="Times New Roman" w:hAnsi="Times New Roman" w:eastAsia="宋体" w:cs="宋体"/>
        <w:b/>
        <w:sz w:val="24"/>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JjYTdkNTZlZDQ0ZTNkNzY2ZmE1Yzc1OTg3OTY2ODcifQ=="/>
  </w:docVars>
  <w:rsids>
    <w:rsidRoot w:val="20CE3211"/>
    <w:rsid w:val="000467BE"/>
    <w:rsid w:val="00062B16"/>
    <w:rsid w:val="0008066D"/>
    <w:rsid w:val="000A324C"/>
    <w:rsid w:val="000B470D"/>
    <w:rsid w:val="000C08CE"/>
    <w:rsid w:val="000C76FC"/>
    <w:rsid w:val="000F3953"/>
    <w:rsid w:val="00114E8B"/>
    <w:rsid w:val="00125429"/>
    <w:rsid w:val="00146CF1"/>
    <w:rsid w:val="001607F1"/>
    <w:rsid w:val="00177603"/>
    <w:rsid w:val="00180C57"/>
    <w:rsid w:val="0019023B"/>
    <w:rsid w:val="0019538E"/>
    <w:rsid w:val="001A60D1"/>
    <w:rsid w:val="001C7EA4"/>
    <w:rsid w:val="001F4F89"/>
    <w:rsid w:val="00201FB9"/>
    <w:rsid w:val="00230563"/>
    <w:rsid w:val="002340C0"/>
    <w:rsid w:val="00236B08"/>
    <w:rsid w:val="002434E9"/>
    <w:rsid w:val="0025758A"/>
    <w:rsid w:val="00265D4B"/>
    <w:rsid w:val="00270403"/>
    <w:rsid w:val="00280BB0"/>
    <w:rsid w:val="002A28B1"/>
    <w:rsid w:val="002E1B91"/>
    <w:rsid w:val="003023D0"/>
    <w:rsid w:val="00323859"/>
    <w:rsid w:val="003264A5"/>
    <w:rsid w:val="00331928"/>
    <w:rsid w:val="00331FDF"/>
    <w:rsid w:val="003450EE"/>
    <w:rsid w:val="00382A32"/>
    <w:rsid w:val="003D3DEA"/>
    <w:rsid w:val="003F4E55"/>
    <w:rsid w:val="00454378"/>
    <w:rsid w:val="00460412"/>
    <w:rsid w:val="00461EBD"/>
    <w:rsid w:val="00470FCE"/>
    <w:rsid w:val="00473D49"/>
    <w:rsid w:val="00474C97"/>
    <w:rsid w:val="004908A4"/>
    <w:rsid w:val="00496328"/>
    <w:rsid w:val="004C2596"/>
    <w:rsid w:val="004C3C09"/>
    <w:rsid w:val="004D3E6D"/>
    <w:rsid w:val="0050031B"/>
    <w:rsid w:val="005033A3"/>
    <w:rsid w:val="00506014"/>
    <w:rsid w:val="00511196"/>
    <w:rsid w:val="00532511"/>
    <w:rsid w:val="00540F3B"/>
    <w:rsid w:val="00554C02"/>
    <w:rsid w:val="005568B0"/>
    <w:rsid w:val="00557CEE"/>
    <w:rsid w:val="00571AFD"/>
    <w:rsid w:val="00575E0C"/>
    <w:rsid w:val="00590D86"/>
    <w:rsid w:val="00594A33"/>
    <w:rsid w:val="005A465D"/>
    <w:rsid w:val="005E1D2D"/>
    <w:rsid w:val="005F0C07"/>
    <w:rsid w:val="00616188"/>
    <w:rsid w:val="006229BC"/>
    <w:rsid w:val="006372BB"/>
    <w:rsid w:val="006400D4"/>
    <w:rsid w:val="00686C95"/>
    <w:rsid w:val="006C7918"/>
    <w:rsid w:val="006D177A"/>
    <w:rsid w:val="006D6C46"/>
    <w:rsid w:val="006F0174"/>
    <w:rsid w:val="006F4DC5"/>
    <w:rsid w:val="007160E4"/>
    <w:rsid w:val="00735A6D"/>
    <w:rsid w:val="00750589"/>
    <w:rsid w:val="0077443F"/>
    <w:rsid w:val="00792450"/>
    <w:rsid w:val="00793980"/>
    <w:rsid w:val="007A4980"/>
    <w:rsid w:val="007C7BC8"/>
    <w:rsid w:val="007D10F7"/>
    <w:rsid w:val="007D1FF0"/>
    <w:rsid w:val="007D3D17"/>
    <w:rsid w:val="007D6C3C"/>
    <w:rsid w:val="007E272B"/>
    <w:rsid w:val="007E72BF"/>
    <w:rsid w:val="007F141C"/>
    <w:rsid w:val="007F1DD5"/>
    <w:rsid w:val="008227E7"/>
    <w:rsid w:val="0082355C"/>
    <w:rsid w:val="008303B3"/>
    <w:rsid w:val="00840848"/>
    <w:rsid w:val="00842F49"/>
    <w:rsid w:val="00854312"/>
    <w:rsid w:val="00892027"/>
    <w:rsid w:val="008A0E28"/>
    <w:rsid w:val="008A26F9"/>
    <w:rsid w:val="008C0E44"/>
    <w:rsid w:val="008C752C"/>
    <w:rsid w:val="008E631E"/>
    <w:rsid w:val="008E6C47"/>
    <w:rsid w:val="008F407A"/>
    <w:rsid w:val="009177A4"/>
    <w:rsid w:val="00922DA1"/>
    <w:rsid w:val="0094606A"/>
    <w:rsid w:val="0095041C"/>
    <w:rsid w:val="00954667"/>
    <w:rsid w:val="00954EBD"/>
    <w:rsid w:val="0095798C"/>
    <w:rsid w:val="00971170"/>
    <w:rsid w:val="0097357B"/>
    <w:rsid w:val="00983515"/>
    <w:rsid w:val="00990B13"/>
    <w:rsid w:val="009B3EF2"/>
    <w:rsid w:val="009F0833"/>
    <w:rsid w:val="009F2A8E"/>
    <w:rsid w:val="009F77E3"/>
    <w:rsid w:val="00A035B0"/>
    <w:rsid w:val="00A3584F"/>
    <w:rsid w:val="00A621E3"/>
    <w:rsid w:val="00A66E23"/>
    <w:rsid w:val="00A75C2A"/>
    <w:rsid w:val="00AC15A4"/>
    <w:rsid w:val="00AE2409"/>
    <w:rsid w:val="00B07391"/>
    <w:rsid w:val="00B27E07"/>
    <w:rsid w:val="00B33F52"/>
    <w:rsid w:val="00B351E1"/>
    <w:rsid w:val="00B41CAA"/>
    <w:rsid w:val="00B738F5"/>
    <w:rsid w:val="00B75329"/>
    <w:rsid w:val="00B9721C"/>
    <w:rsid w:val="00BA3578"/>
    <w:rsid w:val="00BF16E9"/>
    <w:rsid w:val="00BF1D1C"/>
    <w:rsid w:val="00C1642B"/>
    <w:rsid w:val="00C317B6"/>
    <w:rsid w:val="00C428AA"/>
    <w:rsid w:val="00C50F3F"/>
    <w:rsid w:val="00C602B1"/>
    <w:rsid w:val="00C7739E"/>
    <w:rsid w:val="00C900FD"/>
    <w:rsid w:val="00C961FA"/>
    <w:rsid w:val="00CA107D"/>
    <w:rsid w:val="00CA230F"/>
    <w:rsid w:val="00CB1E38"/>
    <w:rsid w:val="00CD1B58"/>
    <w:rsid w:val="00CD359A"/>
    <w:rsid w:val="00CE6E4F"/>
    <w:rsid w:val="00CF2232"/>
    <w:rsid w:val="00CF28E8"/>
    <w:rsid w:val="00D17006"/>
    <w:rsid w:val="00D21DCA"/>
    <w:rsid w:val="00D42B2B"/>
    <w:rsid w:val="00D54BCA"/>
    <w:rsid w:val="00D6455C"/>
    <w:rsid w:val="00D7330F"/>
    <w:rsid w:val="00D75704"/>
    <w:rsid w:val="00D856E3"/>
    <w:rsid w:val="00D96A14"/>
    <w:rsid w:val="00DB3A12"/>
    <w:rsid w:val="00DB5243"/>
    <w:rsid w:val="00DC1E7A"/>
    <w:rsid w:val="00DC359A"/>
    <w:rsid w:val="00DD633F"/>
    <w:rsid w:val="00DE3528"/>
    <w:rsid w:val="00E00078"/>
    <w:rsid w:val="00E16148"/>
    <w:rsid w:val="00E22E7E"/>
    <w:rsid w:val="00E3145C"/>
    <w:rsid w:val="00E40F20"/>
    <w:rsid w:val="00E4189C"/>
    <w:rsid w:val="00E45C55"/>
    <w:rsid w:val="00E819C1"/>
    <w:rsid w:val="00E96D95"/>
    <w:rsid w:val="00E96F1F"/>
    <w:rsid w:val="00E97D5A"/>
    <w:rsid w:val="00EC6201"/>
    <w:rsid w:val="00EC687B"/>
    <w:rsid w:val="00ED69A3"/>
    <w:rsid w:val="00EE51AC"/>
    <w:rsid w:val="00F27861"/>
    <w:rsid w:val="00F300EB"/>
    <w:rsid w:val="00F3165E"/>
    <w:rsid w:val="00F66105"/>
    <w:rsid w:val="00FA60C8"/>
    <w:rsid w:val="00FB1904"/>
    <w:rsid w:val="00FC462A"/>
    <w:rsid w:val="00FE39C5"/>
    <w:rsid w:val="028A6678"/>
    <w:rsid w:val="02E56002"/>
    <w:rsid w:val="03A23D9D"/>
    <w:rsid w:val="03DA7834"/>
    <w:rsid w:val="04AD5164"/>
    <w:rsid w:val="056C4EC7"/>
    <w:rsid w:val="061B4B76"/>
    <w:rsid w:val="08593F75"/>
    <w:rsid w:val="086A5298"/>
    <w:rsid w:val="09BC582C"/>
    <w:rsid w:val="09D96E3D"/>
    <w:rsid w:val="09FA33E6"/>
    <w:rsid w:val="0A590862"/>
    <w:rsid w:val="0BD936D7"/>
    <w:rsid w:val="0E861EBF"/>
    <w:rsid w:val="0ECE23B1"/>
    <w:rsid w:val="0ED86B5D"/>
    <w:rsid w:val="105C40FD"/>
    <w:rsid w:val="12CE63FE"/>
    <w:rsid w:val="13E23345"/>
    <w:rsid w:val="143408F6"/>
    <w:rsid w:val="1533055F"/>
    <w:rsid w:val="15BD7F5F"/>
    <w:rsid w:val="16D8064E"/>
    <w:rsid w:val="18291542"/>
    <w:rsid w:val="19B95B9E"/>
    <w:rsid w:val="19E75211"/>
    <w:rsid w:val="1C32353B"/>
    <w:rsid w:val="1C984628"/>
    <w:rsid w:val="1D076D57"/>
    <w:rsid w:val="1F703C2D"/>
    <w:rsid w:val="207479E5"/>
    <w:rsid w:val="20CE3211"/>
    <w:rsid w:val="21461234"/>
    <w:rsid w:val="219478E5"/>
    <w:rsid w:val="22747F7C"/>
    <w:rsid w:val="227D7253"/>
    <w:rsid w:val="23792073"/>
    <w:rsid w:val="24402578"/>
    <w:rsid w:val="24C81FC8"/>
    <w:rsid w:val="24CE32F5"/>
    <w:rsid w:val="24EC3CBB"/>
    <w:rsid w:val="25E53194"/>
    <w:rsid w:val="263E1437"/>
    <w:rsid w:val="267B565F"/>
    <w:rsid w:val="26CA25D9"/>
    <w:rsid w:val="2ABE332C"/>
    <w:rsid w:val="2B62427F"/>
    <w:rsid w:val="2C161F48"/>
    <w:rsid w:val="2C524C6B"/>
    <w:rsid w:val="2DE04D15"/>
    <w:rsid w:val="2E026666"/>
    <w:rsid w:val="2E521C7C"/>
    <w:rsid w:val="2EAE551D"/>
    <w:rsid w:val="31A625E3"/>
    <w:rsid w:val="34AD30CE"/>
    <w:rsid w:val="35AE039C"/>
    <w:rsid w:val="361222E6"/>
    <w:rsid w:val="37EF3083"/>
    <w:rsid w:val="380375EF"/>
    <w:rsid w:val="38805791"/>
    <w:rsid w:val="39B93301"/>
    <w:rsid w:val="3BD553B9"/>
    <w:rsid w:val="3D834DE4"/>
    <w:rsid w:val="3F6D1405"/>
    <w:rsid w:val="416041AB"/>
    <w:rsid w:val="416122BD"/>
    <w:rsid w:val="41A8501E"/>
    <w:rsid w:val="42515792"/>
    <w:rsid w:val="42AA16E0"/>
    <w:rsid w:val="44DE55EE"/>
    <w:rsid w:val="4504691C"/>
    <w:rsid w:val="452746D4"/>
    <w:rsid w:val="471E600D"/>
    <w:rsid w:val="48766925"/>
    <w:rsid w:val="4A9B6811"/>
    <w:rsid w:val="4EFF64A6"/>
    <w:rsid w:val="4F1E3874"/>
    <w:rsid w:val="4FD95FFF"/>
    <w:rsid w:val="504D156B"/>
    <w:rsid w:val="50DC2707"/>
    <w:rsid w:val="51A822A7"/>
    <w:rsid w:val="5349536B"/>
    <w:rsid w:val="5475601D"/>
    <w:rsid w:val="54CC4578"/>
    <w:rsid w:val="57352277"/>
    <w:rsid w:val="577E7223"/>
    <w:rsid w:val="58157E98"/>
    <w:rsid w:val="589C4ADD"/>
    <w:rsid w:val="5B635A87"/>
    <w:rsid w:val="5DFB5069"/>
    <w:rsid w:val="5F6D454E"/>
    <w:rsid w:val="60737A8C"/>
    <w:rsid w:val="60953251"/>
    <w:rsid w:val="61460763"/>
    <w:rsid w:val="64A746D5"/>
    <w:rsid w:val="656F190F"/>
    <w:rsid w:val="659817FE"/>
    <w:rsid w:val="68720204"/>
    <w:rsid w:val="69BD2659"/>
    <w:rsid w:val="6A317D08"/>
    <w:rsid w:val="6BAD0E91"/>
    <w:rsid w:val="6BFB3E8C"/>
    <w:rsid w:val="6C3637CB"/>
    <w:rsid w:val="6C816C42"/>
    <w:rsid w:val="6DCC7493"/>
    <w:rsid w:val="6E4346A3"/>
    <w:rsid w:val="6E945F8A"/>
    <w:rsid w:val="6EB82C2C"/>
    <w:rsid w:val="705C41DE"/>
    <w:rsid w:val="712800EB"/>
    <w:rsid w:val="71C86EF2"/>
    <w:rsid w:val="720C149E"/>
    <w:rsid w:val="728070C0"/>
    <w:rsid w:val="72E95B09"/>
    <w:rsid w:val="74340800"/>
    <w:rsid w:val="74554F8E"/>
    <w:rsid w:val="74F87F84"/>
    <w:rsid w:val="76946CFC"/>
    <w:rsid w:val="77AE02E9"/>
    <w:rsid w:val="77D6533D"/>
    <w:rsid w:val="780E09A7"/>
    <w:rsid w:val="78CD780C"/>
    <w:rsid w:val="797F0137"/>
    <w:rsid w:val="7B13355C"/>
    <w:rsid w:val="7BFE0DF7"/>
    <w:rsid w:val="7C2E105C"/>
    <w:rsid w:val="7D6248A9"/>
    <w:rsid w:val="7DD4323D"/>
    <w:rsid w:val="7E3D5A57"/>
    <w:rsid w:val="7E4C0C97"/>
    <w:rsid w:val="7FE815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qFormat="1" w:unhideWhenUsed="0" w:uiPriority="0" w:semiHidden="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keepNext/>
      <w:keepLines/>
      <w:numPr>
        <w:ilvl w:val="1"/>
        <w:numId w:val="1"/>
      </w:numPr>
      <w:spacing w:beforeLines="50" w:afterLines="50"/>
      <w:jc w:val="left"/>
      <w:outlineLvl w:val="1"/>
    </w:pPr>
    <w:rPr>
      <w:rFonts w:ascii="Times New Roman" w:hAnsi="Times New Roman" w:eastAsia="宋体" w:cs="Times New Roman"/>
      <w:b/>
      <w:bCs/>
      <w:sz w:val="24"/>
      <w:szCs w:val="32"/>
    </w:rPr>
  </w:style>
  <w:style w:type="paragraph" w:styleId="3">
    <w:name w:val="heading 3"/>
    <w:basedOn w:val="1"/>
    <w:next w:val="1"/>
    <w:semiHidden/>
    <w:unhideWhenUsed/>
    <w:qFormat/>
    <w:uiPriority w:val="0"/>
    <w:pPr>
      <w:keepNext/>
      <w:keepLines/>
      <w:numPr>
        <w:ilvl w:val="2"/>
        <w:numId w:val="1"/>
      </w:numPr>
      <w:spacing w:line="360" w:lineRule="auto"/>
      <w:outlineLvl w:val="2"/>
    </w:pPr>
    <w:rPr>
      <w:b/>
      <w:sz w:val="24"/>
    </w:rPr>
  </w:style>
  <w:style w:type="paragraph" w:styleId="4">
    <w:name w:val="heading 4"/>
    <w:basedOn w:val="1"/>
    <w:next w:val="1"/>
    <w:semiHidden/>
    <w:unhideWhenUsed/>
    <w:qFormat/>
    <w:uiPriority w:val="0"/>
    <w:pPr>
      <w:keepNext/>
      <w:keepLines/>
      <w:numPr>
        <w:ilvl w:val="3"/>
        <w:numId w:val="1"/>
      </w:numPr>
      <w:spacing w:before="280" w:after="290" w:line="372" w:lineRule="auto"/>
      <w:outlineLvl w:val="3"/>
    </w:pPr>
    <w:rPr>
      <w:rFonts w:ascii="Arial" w:hAnsi="Arial" w:eastAsia="黑体"/>
      <w:b/>
      <w:sz w:val="28"/>
    </w:rPr>
  </w:style>
  <w:style w:type="character" w:default="1" w:styleId="17">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38"/>
    <w:qFormat/>
    <w:uiPriority w:val="0"/>
    <w:pPr>
      <w:spacing w:line="360" w:lineRule="auto"/>
      <w:ind w:firstLine="200" w:firstLineChars="200"/>
    </w:pPr>
    <w:rPr>
      <w:rFonts w:ascii="Times New Roman" w:hAnsi="Times New Roman" w:eastAsia="宋体" w:cs="Times New Roman"/>
      <w:sz w:val="24"/>
      <w:szCs w:val="24"/>
    </w:rPr>
  </w:style>
  <w:style w:type="paragraph" w:styleId="6">
    <w:name w:val="annotation text"/>
    <w:basedOn w:val="1"/>
    <w:link w:val="30"/>
    <w:qFormat/>
    <w:uiPriority w:val="99"/>
    <w:pPr>
      <w:spacing w:beforeLines="50" w:afterLines="50" w:line="360" w:lineRule="auto"/>
      <w:ind w:firstLine="200" w:firstLineChars="200"/>
      <w:jc w:val="left"/>
    </w:pPr>
    <w:rPr>
      <w:rFonts w:ascii="Times New Roman" w:hAnsi="Times New Roman" w:eastAsia="宋体" w:cs="Times New Roman"/>
      <w:sz w:val="24"/>
      <w:szCs w:val="24"/>
    </w:rPr>
  </w:style>
  <w:style w:type="paragraph" w:styleId="7">
    <w:name w:val="Body Text"/>
    <w:basedOn w:val="1"/>
    <w:next w:val="8"/>
    <w:link w:val="34"/>
    <w:qFormat/>
    <w:uiPriority w:val="0"/>
    <w:pPr>
      <w:spacing w:after="120"/>
    </w:pPr>
    <w:rPr>
      <w:rFonts w:ascii="Times New Roman" w:hAnsi="Times New Roman" w:eastAsia="宋体" w:cs="Times New Roman"/>
      <w:szCs w:val="24"/>
    </w:rPr>
  </w:style>
  <w:style w:type="paragraph" w:styleId="8">
    <w:name w:val="Body Text First Indent"/>
    <w:basedOn w:val="7"/>
    <w:qFormat/>
    <w:uiPriority w:val="0"/>
    <w:pPr>
      <w:adjustRightInd w:val="0"/>
      <w:snapToGrid w:val="0"/>
      <w:spacing w:line="336" w:lineRule="auto"/>
      <w:ind w:firstLine="200" w:firstLineChars="200"/>
    </w:pPr>
  </w:style>
  <w:style w:type="paragraph" w:styleId="9">
    <w:name w:val="Plain Text"/>
    <w:basedOn w:val="1"/>
    <w:next w:val="10"/>
    <w:qFormat/>
    <w:uiPriority w:val="99"/>
    <w:pPr>
      <w:widowControl/>
      <w:spacing w:beforeAutospacing="1" w:afterAutospacing="1"/>
      <w:jc w:val="left"/>
    </w:pPr>
    <w:rPr>
      <w:rFonts w:ascii="ˎ̥" w:hAnsi="ˎ̥"/>
      <w:sz w:val="18"/>
      <w:szCs w:val="18"/>
    </w:rPr>
  </w:style>
  <w:style w:type="paragraph" w:styleId="10">
    <w:name w:val="toc 1"/>
    <w:basedOn w:val="1"/>
    <w:next w:val="1"/>
    <w:qFormat/>
    <w:uiPriority w:val="39"/>
    <w:pPr>
      <w:spacing w:beforeLines="50" w:afterLines="50" w:line="360" w:lineRule="auto"/>
      <w:ind w:firstLine="200" w:firstLineChars="200"/>
      <w:jc w:val="left"/>
    </w:pPr>
    <w:rPr>
      <w:rFonts w:ascii="Calibri" w:hAnsi="Calibri" w:eastAsia="宋体" w:cs="Times New Roman"/>
      <w:b/>
      <w:bCs/>
      <w:caps/>
      <w:sz w:val="20"/>
      <w:szCs w:val="20"/>
    </w:rPr>
  </w:style>
  <w:style w:type="paragraph" w:styleId="11">
    <w:name w:val="Balloon Text"/>
    <w:basedOn w:val="1"/>
    <w:link w:val="33"/>
    <w:qFormat/>
    <w:uiPriority w:val="0"/>
    <w:rPr>
      <w:sz w:val="18"/>
      <w:szCs w:val="18"/>
    </w:rPr>
  </w:style>
  <w:style w:type="paragraph" w:styleId="12">
    <w:name w:val="footer"/>
    <w:basedOn w:val="1"/>
    <w:qFormat/>
    <w:uiPriority w:val="0"/>
    <w:pPr>
      <w:tabs>
        <w:tab w:val="center" w:pos="4153"/>
        <w:tab w:val="right" w:pos="8306"/>
      </w:tabs>
      <w:snapToGrid w:val="0"/>
      <w:jc w:val="left"/>
    </w:pPr>
    <w:rPr>
      <w:sz w:val="18"/>
      <w:szCs w:val="18"/>
    </w:rPr>
  </w:style>
  <w:style w:type="paragraph" w:styleId="13">
    <w:name w:val="header"/>
    <w:basedOn w:val="1"/>
    <w:link w:val="29"/>
    <w:qFormat/>
    <w:uiPriority w:val="0"/>
    <w:pPr>
      <w:pBdr>
        <w:bottom w:val="single" w:color="auto" w:sz="6" w:space="1"/>
      </w:pBdr>
      <w:tabs>
        <w:tab w:val="center" w:pos="4153"/>
        <w:tab w:val="right" w:pos="8306"/>
      </w:tabs>
      <w:snapToGrid w:val="0"/>
      <w:jc w:val="center"/>
    </w:pPr>
    <w:rPr>
      <w:sz w:val="18"/>
      <w:szCs w:val="18"/>
    </w:rPr>
  </w:style>
  <w:style w:type="paragraph" w:styleId="14">
    <w:name w:val="Body Text First Indent 2"/>
    <w:basedOn w:val="4"/>
    <w:next w:val="8"/>
    <w:qFormat/>
    <w:uiPriority w:val="0"/>
    <w:pPr>
      <w:tabs>
        <w:tab w:val="left" w:pos="420"/>
        <w:tab w:val="left" w:pos="870"/>
        <w:tab w:val="left" w:pos="3150"/>
        <w:tab w:val="clear" w:pos="432"/>
      </w:tabs>
      <w:autoSpaceDE w:val="0"/>
      <w:autoSpaceDN w:val="0"/>
      <w:spacing w:beforeLines="25" w:line="336" w:lineRule="auto"/>
      <w:ind w:firstLine="527"/>
    </w:pPr>
    <w:rPr>
      <w:rFonts w:ascii="宋体"/>
      <w:szCs w:val="28"/>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Hyperlink"/>
    <w:basedOn w:val="17"/>
    <w:unhideWhenUsed/>
    <w:qFormat/>
    <w:uiPriority w:val="0"/>
    <w:rPr>
      <w:color w:val="0563C1" w:themeColor="hyperlink"/>
      <w:u w:val="single"/>
    </w:rPr>
  </w:style>
  <w:style w:type="paragraph" w:customStyle="1" w:styleId="19">
    <w:name w:val="正文首行缩进2个字 Char"/>
    <w:basedOn w:val="1"/>
    <w:qFormat/>
    <w:uiPriority w:val="0"/>
    <w:pPr>
      <w:ind w:firstLine="480" w:firstLineChars="200"/>
    </w:pPr>
    <w:rPr>
      <w:rFonts w:eastAsia="楷体"/>
      <w:sz w:val="24"/>
      <w:szCs w:val="24"/>
    </w:rPr>
  </w:style>
  <w:style w:type="paragraph" w:customStyle="1" w:styleId="20">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21">
    <w:name w:val="表格正文"/>
    <w:basedOn w:val="1"/>
    <w:qFormat/>
    <w:uiPriority w:val="0"/>
    <w:pPr>
      <w:spacing w:line="360" w:lineRule="exact"/>
      <w:jc w:val="center"/>
    </w:pPr>
    <w:rPr>
      <w:rFonts w:eastAsia="宋体"/>
      <w:color w:val="000000"/>
      <w:szCs w:val="24"/>
    </w:rPr>
  </w:style>
  <w:style w:type="paragraph" w:customStyle="1" w:styleId="22">
    <w:name w:val="列出段落1"/>
    <w:basedOn w:val="1"/>
    <w:unhideWhenUsed/>
    <w:qFormat/>
    <w:uiPriority w:val="99"/>
    <w:pPr>
      <w:ind w:firstLine="420" w:firstLineChars="200"/>
    </w:pPr>
  </w:style>
  <w:style w:type="paragraph" w:customStyle="1" w:styleId="23">
    <w:name w:val="正文文本缩进 21"/>
    <w:basedOn w:val="1"/>
    <w:qFormat/>
    <w:uiPriority w:val="0"/>
    <w:pPr>
      <w:spacing w:line="312" w:lineRule="atLeast"/>
      <w:ind w:firstLine="570"/>
      <w:jc w:val="distribute"/>
      <w:textAlignment w:val="baseline"/>
    </w:pPr>
    <w:rPr>
      <w:rFonts w:ascii="Times New Roman" w:hAnsi="Times New Roman" w:eastAsia="仿宋_GB2312" w:cs="Times New Roman"/>
      <w:sz w:val="28"/>
      <w:szCs w:val="20"/>
    </w:rPr>
  </w:style>
  <w:style w:type="paragraph" w:customStyle="1" w:styleId="24">
    <w:name w:val="普通(网站)1"/>
    <w:basedOn w:val="1"/>
    <w:qFormat/>
    <w:uiPriority w:val="0"/>
    <w:pPr>
      <w:spacing w:before="100" w:beforeAutospacing="1" w:after="100" w:afterAutospacing="1"/>
    </w:pPr>
    <w:rPr>
      <w:rFonts w:ascii="宋体" w:hAnsi="宋体" w:eastAsia="宋体" w:cs="宋体"/>
      <w:sz w:val="24"/>
      <w:szCs w:val="24"/>
    </w:rPr>
  </w:style>
  <w:style w:type="paragraph" w:customStyle="1" w:styleId="25">
    <w:name w:val="正文001"/>
    <w:basedOn w:val="1"/>
    <w:qFormat/>
    <w:uiPriority w:val="0"/>
    <w:pPr>
      <w:spacing w:line="440" w:lineRule="atLeast"/>
      <w:ind w:firstLine="200" w:firstLineChars="200"/>
    </w:pPr>
    <w:rPr>
      <w:sz w:val="24"/>
      <w:szCs w:val="20"/>
    </w:rPr>
  </w:style>
  <w:style w:type="paragraph" w:customStyle="1" w:styleId="26">
    <w:name w:val="正文文字缩进 2"/>
    <w:basedOn w:val="1"/>
    <w:qFormat/>
    <w:uiPriority w:val="0"/>
    <w:pPr>
      <w:spacing w:line="560" w:lineRule="exact"/>
      <w:ind w:firstLine="570"/>
    </w:pPr>
    <w:rPr>
      <w:szCs w:val="28"/>
    </w:rPr>
  </w:style>
  <w:style w:type="paragraph" w:customStyle="1" w:styleId="27">
    <w:name w:val="Table Paragraph"/>
    <w:basedOn w:val="1"/>
    <w:qFormat/>
    <w:uiPriority w:val="1"/>
    <w:pPr>
      <w:jc w:val="left"/>
    </w:pPr>
    <w:rPr>
      <w:kern w:val="0"/>
      <w:sz w:val="22"/>
      <w:lang w:eastAsia="en-US"/>
    </w:rPr>
  </w:style>
  <w:style w:type="paragraph" w:customStyle="1" w:styleId="28">
    <w:name w:val="导则正文"/>
    <w:basedOn w:val="1"/>
    <w:qFormat/>
    <w:uiPriority w:val="0"/>
    <w:pPr>
      <w:ind w:firstLine="200" w:firstLineChars="200"/>
      <w:jc w:val="left"/>
    </w:pPr>
    <w:rPr>
      <w:rFonts w:ascii="Times New Roman" w:hAnsi="Times New Roman" w:eastAsia="宋体" w:cs="Times New Roman"/>
      <w:szCs w:val="21"/>
    </w:rPr>
  </w:style>
  <w:style w:type="character" w:customStyle="1" w:styleId="29">
    <w:name w:val="页眉 Char"/>
    <w:basedOn w:val="17"/>
    <w:link w:val="13"/>
    <w:qFormat/>
    <w:uiPriority w:val="0"/>
    <w:rPr>
      <w:rFonts w:asciiTheme="minorHAnsi" w:hAnsiTheme="minorHAnsi" w:eastAsiaTheme="minorEastAsia" w:cstheme="minorBidi"/>
      <w:kern w:val="2"/>
      <w:sz w:val="18"/>
      <w:szCs w:val="18"/>
    </w:rPr>
  </w:style>
  <w:style w:type="character" w:customStyle="1" w:styleId="30">
    <w:name w:val="批注文字 Char"/>
    <w:basedOn w:val="17"/>
    <w:link w:val="6"/>
    <w:qFormat/>
    <w:uiPriority w:val="99"/>
    <w:rPr>
      <w:kern w:val="2"/>
      <w:sz w:val="24"/>
      <w:szCs w:val="24"/>
    </w:rPr>
  </w:style>
  <w:style w:type="character" w:customStyle="1" w:styleId="31">
    <w:name w:val="文本 Char"/>
    <w:link w:val="32"/>
    <w:qFormat/>
    <w:uiPriority w:val="0"/>
    <w:rPr>
      <w:rFonts w:eastAsiaTheme="minorEastAsia" w:cstheme="minorBidi"/>
      <w:kern w:val="2"/>
      <w:sz w:val="24"/>
      <w:szCs w:val="22"/>
    </w:rPr>
  </w:style>
  <w:style w:type="paragraph" w:customStyle="1" w:styleId="32">
    <w:name w:val="文本"/>
    <w:basedOn w:val="1"/>
    <w:link w:val="31"/>
    <w:qFormat/>
    <w:uiPriority w:val="0"/>
    <w:pPr>
      <w:spacing w:line="360" w:lineRule="auto"/>
      <w:ind w:firstLine="480" w:firstLineChars="200"/>
      <w:jc w:val="left"/>
    </w:pPr>
    <w:rPr>
      <w:rFonts w:ascii="Times New Roman" w:hAnsi="Times New Roman"/>
      <w:sz w:val="24"/>
    </w:rPr>
  </w:style>
  <w:style w:type="character" w:customStyle="1" w:styleId="33">
    <w:name w:val="批注框文本 Char"/>
    <w:basedOn w:val="17"/>
    <w:link w:val="11"/>
    <w:qFormat/>
    <w:uiPriority w:val="0"/>
    <w:rPr>
      <w:rFonts w:asciiTheme="minorHAnsi" w:hAnsiTheme="minorHAnsi" w:eastAsiaTheme="minorEastAsia" w:cstheme="minorBidi"/>
      <w:kern w:val="2"/>
      <w:sz w:val="18"/>
      <w:szCs w:val="18"/>
    </w:rPr>
  </w:style>
  <w:style w:type="character" w:customStyle="1" w:styleId="34">
    <w:name w:val="正文文本 Char"/>
    <w:basedOn w:val="17"/>
    <w:link w:val="7"/>
    <w:qFormat/>
    <w:uiPriority w:val="0"/>
    <w:rPr>
      <w:kern w:val="2"/>
      <w:sz w:val="21"/>
      <w:szCs w:val="24"/>
    </w:rPr>
  </w:style>
  <w:style w:type="paragraph" w:styleId="35">
    <w:name w:val="List Paragraph"/>
    <w:basedOn w:val="1"/>
    <w:qFormat/>
    <w:uiPriority w:val="34"/>
    <w:pPr>
      <w:ind w:firstLine="420" w:firstLineChars="200"/>
    </w:pPr>
  </w:style>
  <w:style w:type="table" w:customStyle="1" w:styleId="36">
    <w:name w:val="TableGrid"/>
    <w:qFormat/>
    <w:uiPriority w:val="0"/>
    <w:tblPr>
      <w:tblCellMar>
        <w:top w:w="0" w:type="dxa"/>
        <w:left w:w="0" w:type="dxa"/>
        <w:bottom w:w="0" w:type="dxa"/>
        <w:right w:w="0" w:type="dxa"/>
      </w:tblCellMar>
    </w:tblPr>
  </w:style>
  <w:style w:type="character" w:customStyle="1" w:styleId="37">
    <w:name w:val="Unresolved Mention"/>
    <w:basedOn w:val="17"/>
    <w:semiHidden/>
    <w:unhideWhenUsed/>
    <w:qFormat/>
    <w:uiPriority w:val="99"/>
    <w:rPr>
      <w:color w:val="605E5C"/>
      <w:shd w:val="clear" w:color="auto" w:fill="E1DFDD"/>
    </w:rPr>
  </w:style>
  <w:style w:type="character" w:customStyle="1" w:styleId="38">
    <w:name w:val="正文缩进 Char"/>
    <w:link w:val="5"/>
    <w:qFormat/>
    <w:locked/>
    <w:uiPriority w:val="0"/>
    <w:rPr>
      <w:kern w:val="2"/>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5035</Words>
  <Characters>5670</Characters>
  <Lines>41</Lines>
  <Paragraphs>11</Paragraphs>
  <TotalTime>0</TotalTime>
  <ScaleCrop>false</ScaleCrop>
  <LinksUpToDate>false</LinksUpToDate>
  <CharactersWithSpaces>5702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2025-05-19T02:15:00Z</dcterms:created>
  <dc:creator>七个柚子</dc:creator>
  <cp:lastModifiedBy>七</cp:lastModifiedBy>
  <cp:lastPrinted>2025-03-06T07:26:00Z</cp:lastPrinted>
  <dcterms:modified xsi:type="dcterms:W3CDTF">2025-05-30T06:11:52Z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DFC5C0216428447D878F23C79B2F4B95_13</vt:lpwstr>
  </property>
  <property fmtid="{D5CDD505-2E9C-101B-9397-08002B2CF9AE}" pid="4" name="KSOTemplateDocerSaveRecord">
    <vt:lpwstr>eyJoZGlkIjoiZTg0MWZmZDlmNTc0Y2JiYzFhZDU5MWRiZDNmZTlhNTkiLCJ1c2VySWQiOiIyMzAyNDM5MTMifQ==</vt:lpwstr>
  </property>
</Properties>
</file>