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ED4A7">
      <w:pPr>
        <w:snapToGrid w:val="0"/>
        <w:spacing w:line="36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衢州三时纪新材料有限公司年产12000吨高端集成电路封装和5G通讯球硅填料用新型电子基材产业化项目竣工环境保护先行验收意见</w:t>
      </w:r>
    </w:p>
    <w:p w14:paraId="10DA41E4">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rPr>
      </w:pPr>
      <w:r>
        <w:rPr>
          <w:rFonts w:ascii="Times New Roman" w:hAnsi="Times New Roman" w:eastAsia="宋体" w:cs="Times New Roman"/>
          <w:kern w:val="0"/>
          <w:sz w:val="24"/>
          <w:szCs w:val="24"/>
        </w:rPr>
        <w:t>2025年12月25日，</w:t>
      </w:r>
      <w:r>
        <w:rPr>
          <w:rFonts w:ascii="Times New Roman" w:hAnsi="Times New Roman" w:eastAsia="宋体" w:cs="Times New Roman"/>
          <w:sz w:val="24"/>
          <w:szCs w:val="24"/>
        </w:rPr>
        <w:t>衢州三时纪新材料有限公司</w:t>
      </w:r>
      <w:r>
        <w:rPr>
          <w:rFonts w:ascii="Times New Roman" w:hAnsi="Times New Roman" w:eastAsia="宋体" w:cs="Times New Roman"/>
          <w:kern w:val="0"/>
          <w:sz w:val="24"/>
          <w:szCs w:val="24"/>
        </w:rPr>
        <w:t>根据《</w:t>
      </w:r>
      <w:r>
        <w:rPr>
          <w:rFonts w:ascii="Times New Roman" w:hAnsi="Times New Roman" w:eastAsia="宋体" w:cs="Times New Roman"/>
          <w:sz w:val="24"/>
          <w:szCs w:val="24"/>
        </w:rPr>
        <w:t>衢州三时纪新材料有限公司年产12000吨高端集成电路封装和5G通讯球硅填料用新型电子基材产业化项目</w:t>
      </w:r>
      <w:r>
        <w:rPr>
          <w:rFonts w:ascii="Times New Roman" w:hAnsi="Times New Roman" w:eastAsia="宋体" w:cs="Times New Roman"/>
          <w:kern w:val="0"/>
          <w:sz w:val="24"/>
          <w:szCs w:val="24"/>
        </w:rPr>
        <w:t>竣工环境保护先行验收监测报告表》，对照《建设项目竣工环境保护验收暂行办法》（国环规环评〔2017〕4号）及《浙江省建设项目环境保护管理办法》，严格依照国家有关法律法规、建设项目竣工环境保护验收技术指南、本项目环境影响报告表和审批部门审批意见等要求，邀请相关单位人员及专家组成验收工作组（名单附后）对本项目进行项目竣工环境保护先行验收，形成验收意见如下：</w:t>
      </w:r>
    </w:p>
    <w:p w14:paraId="1A3CFD21">
      <w:pPr>
        <w:keepNext w:val="0"/>
        <w:keepLines w:val="0"/>
        <w:pageBreakBefore w:val="0"/>
        <w:kinsoku/>
        <w:wordWrap/>
        <w:overflowPunct/>
        <w:topLinePunct w:val="0"/>
        <w:bidi w:val="0"/>
        <w:snapToGrid w:val="0"/>
        <w:spacing w:line="336" w:lineRule="auto"/>
        <w:ind w:firstLine="482" w:firstLineChars="200"/>
        <w:textAlignment w:val="auto"/>
        <w:rPr>
          <w:rFonts w:ascii="Times New Roman" w:hAnsi="Times New Roman" w:eastAsia="宋体" w:cs="Times New Roman"/>
          <w:b/>
          <w:sz w:val="24"/>
          <w:szCs w:val="24"/>
        </w:rPr>
      </w:pPr>
      <w:r>
        <w:rPr>
          <w:rFonts w:ascii="Times New Roman" w:hAnsi="Times New Roman" w:eastAsia="宋体" w:cs="Times New Roman"/>
          <w:b/>
          <w:sz w:val="24"/>
          <w:szCs w:val="24"/>
        </w:rPr>
        <w:t>一、工程建设基本情况</w:t>
      </w:r>
    </w:p>
    <w:p w14:paraId="29F86D5A">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color w:val="auto"/>
        </w:rPr>
        <w:t>（一）建设地点、规模、主要建设内容</w:t>
      </w:r>
    </w:p>
    <w:p w14:paraId="38484C5B">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000000"/>
          <w:lang w:bidi="zh-CN"/>
        </w:rPr>
      </w:pPr>
      <w:r>
        <w:rPr>
          <w:rFonts w:ascii="Times New Roman" w:hAnsi="Times New Roman" w:cs="Times New Roman"/>
          <w:color w:val="000000"/>
          <w:lang w:bidi="zh-CN"/>
        </w:rPr>
        <w:t>衢州三时纪新材料有限公司位于浙江省衢州市杜鹃路20号（环评报告中地址为衢州智造新城高新园区衢化西路以东，杜鹃路以北，槐杨路以西D-9-3#地块），是一家专业从事聚球形甲基硅氧烷（BBQ）生产的高新技术企业。</w:t>
      </w:r>
    </w:p>
    <w:p w14:paraId="1538E5A6">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000000"/>
          <w:lang w:bidi="zh-CN"/>
        </w:rPr>
      </w:pPr>
      <w:r>
        <w:rPr>
          <w:rFonts w:ascii="Times New Roman" w:hAnsi="Times New Roman" w:cs="Times New Roman"/>
          <w:color w:val="000000"/>
          <w:lang w:bidi="zh-CN"/>
        </w:rPr>
        <w:t>衢州三时纪新材料有限公司在浙江省衢州市杜鹃路20号新建生产车间、丙类仓库、控制楼、储罐区及其他附属生产设施等，建设年产12000吨高端集成电路封装和5G通讯球硅填料用新型电子基材产业化项目。</w:t>
      </w:r>
    </w:p>
    <w:p w14:paraId="0162058E">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000000"/>
          <w:lang w:bidi="zh-CN"/>
        </w:rPr>
      </w:pPr>
      <w:r>
        <w:rPr>
          <w:rFonts w:ascii="Times New Roman" w:hAnsi="Times New Roman" w:cs="Times New Roman"/>
          <w:color w:val="000000"/>
          <w:lang w:bidi="zh-CN"/>
        </w:rPr>
        <w:t>项目设计产品方案：年产28800吨甲基三甲氧基硅烷及12000吨聚球形甲基硅氧烷。</w:t>
      </w:r>
    </w:p>
    <w:p w14:paraId="05C0A566">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color w:val="auto"/>
        </w:rPr>
        <w:t>（二）建设过程及环保审批情况</w:t>
      </w:r>
    </w:p>
    <w:p w14:paraId="60270FDE">
      <w:pPr>
        <w:keepNext w:val="0"/>
        <w:keepLines w:val="0"/>
        <w:pageBreakBefore w:val="0"/>
        <w:kinsoku/>
        <w:wordWrap/>
        <w:overflowPunct/>
        <w:topLinePunct w:val="0"/>
        <w:bidi w:val="0"/>
        <w:spacing w:line="336" w:lineRule="auto"/>
        <w:ind w:firstLine="482"/>
        <w:textAlignment w:val="auto"/>
        <w:rPr>
          <w:rFonts w:ascii="Times New Roman" w:hAnsi="Times New Roman" w:eastAsia="宋体" w:cs="Times New Roman"/>
          <w:color w:val="000000"/>
          <w:sz w:val="24"/>
          <w:szCs w:val="24"/>
          <w:lang w:bidi="zh-CN"/>
        </w:rPr>
      </w:pPr>
      <w:r>
        <w:rPr>
          <w:rFonts w:ascii="Times New Roman" w:hAnsi="Times New Roman" w:eastAsia="宋体" w:cs="Times New Roman"/>
          <w:color w:val="000000"/>
          <w:sz w:val="24"/>
          <w:szCs w:val="24"/>
          <w:lang w:bidi="zh-CN"/>
        </w:rPr>
        <w:t>项目于2022年7月14日在衢州智造新城管理委员会完成了备案（项目代码：2207-330851-04-01-297109）。</w:t>
      </w:r>
    </w:p>
    <w:p w14:paraId="1E4BC6B3">
      <w:pPr>
        <w:keepNext w:val="0"/>
        <w:keepLines w:val="0"/>
        <w:pageBreakBefore w:val="0"/>
        <w:kinsoku/>
        <w:wordWrap/>
        <w:overflowPunct/>
        <w:topLinePunct w:val="0"/>
        <w:bidi w:val="0"/>
        <w:spacing w:line="336" w:lineRule="auto"/>
        <w:ind w:firstLine="482"/>
        <w:textAlignment w:val="auto"/>
        <w:rPr>
          <w:rFonts w:ascii="Times New Roman" w:hAnsi="Times New Roman" w:eastAsia="宋体" w:cs="Times New Roman"/>
          <w:color w:val="000000"/>
          <w:sz w:val="24"/>
          <w:szCs w:val="24"/>
          <w:lang w:bidi="zh-CN"/>
        </w:rPr>
      </w:pPr>
      <w:r>
        <w:rPr>
          <w:rFonts w:ascii="Times New Roman" w:hAnsi="Times New Roman" w:eastAsia="宋体" w:cs="Times New Roman"/>
          <w:color w:val="000000"/>
          <w:sz w:val="24"/>
          <w:szCs w:val="24"/>
          <w:lang w:bidi="zh-CN"/>
        </w:rPr>
        <w:t>2023年1月，企业委托浙江天睿环境科技有限公司编制完成了《衢州三时纪新材料有限公司年产12000吨高端集成电路封装和5G通讯球硅填料用新型电子基材产业化项目环境影响报告书》，于2023年1月18日获得衢州市生态环境局智造新城分局的审查意见（衢环智造建【2023】5号）。</w:t>
      </w:r>
    </w:p>
    <w:p w14:paraId="49B84AE2">
      <w:pPr>
        <w:keepNext w:val="0"/>
        <w:keepLines w:val="0"/>
        <w:pageBreakBefore w:val="0"/>
        <w:kinsoku/>
        <w:wordWrap/>
        <w:overflowPunct/>
        <w:topLinePunct w:val="0"/>
        <w:bidi w:val="0"/>
        <w:spacing w:line="336" w:lineRule="auto"/>
        <w:ind w:firstLine="482"/>
        <w:textAlignment w:val="auto"/>
        <w:rPr>
          <w:rFonts w:ascii="Times New Roman" w:hAnsi="Times New Roman" w:eastAsia="宋体" w:cs="Times New Roman"/>
          <w:color w:val="000000"/>
          <w:sz w:val="24"/>
          <w:szCs w:val="24"/>
          <w:lang w:bidi="zh-CN"/>
        </w:rPr>
      </w:pPr>
      <w:r>
        <w:rPr>
          <w:rFonts w:ascii="Times New Roman" w:hAnsi="Times New Roman" w:eastAsia="宋体" w:cs="Times New Roman"/>
          <w:color w:val="000000"/>
          <w:sz w:val="24"/>
          <w:szCs w:val="24"/>
          <w:lang w:bidi="zh-CN"/>
        </w:rPr>
        <w:t>2024年5月17日本项目完成排污许可证申领，2024年12月4日本项目完成排污许可证变更，变更后排污许可证编号为：91330800MA7L3CN71L001P。</w:t>
      </w:r>
    </w:p>
    <w:p w14:paraId="2885799B">
      <w:pPr>
        <w:keepNext w:val="0"/>
        <w:keepLines w:val="0"/>
        <w:pageBreakBefore w:val="0"/>
        <w:kinsoku/>
        <w:wordWrap/>
        <w:overflowPunct/>
        <w:topLinePunct w:val="0"/>
        <w:bidi w:val="0"/>
        <w:spacing w:line="336" w:lineRule="auto"/>
        <w:ind w:firstLine="482"/>
        <w:textAlignment w:val="auto"/>
        <w:rPr>
          <w:rFonts w:ascii="Times New Roman" w:hAnsi="Times New Roman" w:eastAsia="宋体" w:cs="Times New Roman"/>
          <w:color w:val="000000"/>
          <w:sz w:val="24"/>
          <w:szCs w:val="24"/>
          <w:lang w:bidi="zh-CN"/>
        </w:rPr>
      </w:pPr>
      <w:r>
        <w:rPr>
          <w:rFonts w:ascii="Times New Roman" w:hAnsi="Times New Roman" w:eastAsia="宋体" w:cs="Times New Roman"/>
          <w:color w:val="000000"/>
          <w:sz w:val="24"/>
          <w:szCs w:val="24"/>
          <w:lang w:bidi="zh-CN"/>
        </w:rPr>
        <w:t>本项目于2023年2月开工建设，2025年7月30日开始试生产。</w:t>
      </w:r>
    </w:p>
    <w:p w14:paraId="5A7B77EC">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000000"/>
          <w:lang w:bidi="zh-CN"/>
        </w:rPr>
      </w:pPr>
      <w:r>
        <w:rPr>
          <w:rFonts w:ascii="Times New Roman" w:hAnsi="Times New Roman" w:cs="Times New Roman"/>
          <w:color w:val="000000"/>
          <w:lang w:bidi="zh-CN"/>
        </w:rPr>
        <w:t>本项目员工人数90人，项目生产车间采用四班三运转，年生产333天，厂区内不设员工食堂。</w:t>
      </w:r>
    </w:p>
    <w:p w14:paraId="77F6E7E0">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color w:val="auto"/>
        </w:rPr>
        <w:t>（三）投资情况</w:t>
      </w:r>
    </w:p>
    <w:p w14:paraId="65B72052">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项目实际总投资16784万元，环保投资2580万元，占总投资15.4%。</w:t>
      </w:r>
    </w:p>
    <w:p w14:paraId="2BEEAD89">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color w:val="auto"/>
        </w:rPr>
        <w:t>（四）验收范围</w:t>
      </w:r>
    </w:p>
    <w:p w14:paraId="263CD780">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000000"/>
          <w:sz w:val="24"/>
          <w:szCs w:val="24"/>
          <w:lang w:bidi="zh-CN"/>
        </w:rPr>
      </w:pPr>
      <w:r>
        <w:rPr>
          <w:rFonts w:ascii="Times New Roman" w:hAnsi="Times New Roman" w:cs="Times New Roman"/>
          <w:color w:val="000000"/>
          <w:sz w:val="24"/>
          <w:szCs w:val="24"/>
          <w:lang w:bidi="zh-CN"/>
        </w:rPr>
        <w:t>目前企业已建设的为一条1330吨/年</w:t>
      </w:r>
      <w:bookmarkStart w:id="0" w:name="OLE_LINK2"/>
      <w:r>
        <w:rPr>
          <w:rFonts w:ascii="Times New Roman" w:hAnsi="Times New Roman" w:cs="Times New Roman"/>
          <w:color w:val="000000"/>
          <w:sz w:val="24"/>
          <w:szCs w:val="24"/>
          <w:lang w:bidi="zh-CN"/>
        </w:rPr>
        <w:t>聚球形甲基硅氧烷（BBQ）生产线</w:t>
      </w:r>
      <w:bookmarkEnd w:id="0"/>
      <w:r>
        <w:rPr>
          <w:rFonts w:ascii="Times New Roman" w:hAnsi="Times New Roman" w:cs="Times New Roman"/>
          <w:color w:val="000000"/>
          <w:sz w:val="24"/>
          <w:szCs w:val="24"/>
          <w:lang w:bidi="zh-CN"/>
        </w:rPr>
        <w:t>，其余BBQ生产线未建设，甲基三甲氧基硅烷（C3）生产线和副产盐酸生产线未建设，本次验收为项目先行验收。</w:t>
      </w:r>
    </w:p>
    <w:p w14:paraId="787C90DD">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本次验收范围为企业目前实际已建成的</w:t>
      </w:r>
      <w:r>
        <w:rPr>
          <w:rFonts w:ascii="Times New Roman" w:hAnsi="Times New Roman" w:cs="Times New Roman"/>
          <w:color w:val="000000"/>
          <w:sz w:val="24"/>
          <w:szCs w:val="24"/>
          <w:lang w:bidi="zh-CN"/>
        </w:rPr>
        <w:t>一条1330吨/年聚球形甲基硅氧烷（BBQ）生产线</w:t>
      </w:r>
      <w:r>
        <w:rPr>
          <w:rFonts w:ascii="Times New Roman" w:hAnsi="Times New Roman" w:eastAsia="宋体" w:cs="Times New Roman"/>
          <w:kern w:val="0"/>
          <w:sz w:val="24"/>
          <w:szCs w:val="24"/>
        </w:rPr>
        <w:t>及其配套的环保设施。</w:t>
      </w:r>
    </w:p>
    <w:p w14:paraId="76A5DD09">
      <w:pPr>
        <w:keepNext w:val="0"/>
        <w:keepLines w:val="0"/>
        <w:pageBreakBefore w:val="0"/>
        <w:kinsoku/>
        <w:wordWrap/>
        <w:overflowPunct/>
        <w:topLinePunct w:val="0"/>
        <w:bidi w:val="0"/>
        <w:snapToGrid w:val="0"/>
        <w:spacing w:line="336" w:lineRule="auto"/>
        <w:ind w:firstLine="482" w:firstLineChars="200"/>
        <w:textAlignment w:val="auto"/>
        <w:rPr>
          <w:rFonts w:ascii="Times New Roman" w:hAnsi="Times New Roman" w:eastAsia="宋体" w:cs="Times New Roman"/>
          <w:b/>
          <w:bCs/>
          <w:sz w:val="24"/>
          <w:szCs w:val="24"/>
        </w:rPr>
      </w:pPr>
      <w:r>
        <w:rPr>
          <w:rFonts w:ascii="Times New Roman" w:hAnsi="Times New Roman" w:eastAsia="宋体" w:cs="Times New Roman"/>
          <w:b/>
          <w:bCs/>
          <w:sz w:val="24"/>
          <w:szCs w:val="24"/>
        </w:rPr>
        <w:t>二、工程变动情况</w:t>
      </w:r>
    </w:p>
    <w:p w14:paraId="73EDE9CC">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据现场踏勘和验收监测报告，发生变动如下：</w:t>
      </w:r>
    </w:p>
    <w:p w14:paraId="5914F1E5">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color w:val="000000"/>
          <w:sz w:val="24"/>
          <w:szCs w:val="24"/>
        </w:rPr>
      </w:pPr>
      <w:r>
        <w:rPr>
          <w:rFonts w:ascii="Times New Roman" w:hAnsi="Times New Roman" w:eastAsia="宋体" w:cs="Times New Roman"/>
          <w:sz w:val="24"/>
          <w:szCs w:val="24"/>
        </w:rPr>
        <w:t>（</w:t>
      </w:r>
      <w:r>
        <w:rPr>
          <w:rFonts w:ascii="Times New Roman" w:hAnsi="Times New Roman" w:eastAsia="宋体" w:cs="Times New Roman"/>
          <w:sz w:val="24"/>
          <w:szCs w:val="24"/>
          <w:lang w:val="zh-CN"/>
        </w:rPr>
        <w:t>一）</w:t>
      </w:r>
      <w:r>
        <w:rPr>
          <w:rFonts w:ascii="Times New Roman" w:hAnsi="Times New Roman" w:eastAsia="宋体" w:cs="Times New Roman"/>
          <w:color w:val="000000"/>
          <w:sz w:val="24"/>
          <w:szCs w:val="24"/>
        </w:rPr>
        <w:t>由于现阶段企业不生产甲基三甲氧基硅烷，</w:t>
      </w:r>
      <w:r>
        <w:rPr>
          <w:rFonts w:ascii="Times New Roman" w:hAnsi="Times New Roman" w:cs="Times New Roman"/>
          <w:color w:val="000000"/>
          <w:sz w:val="24"/>
          <w:szCs w:val="24"/>
          <w:lang w:bidi="zh-CN"/>
        </w:rPr>
        <w:t>聚球形甲基硅氧烷（BBQ）生产线</w:t>
      </w:r>
      <w:r>
        <w:rPr>
          <w:rFonts w:ascii="Times New Roman" w:hAnsi="Times New Roman" w:eastAsia="宋体" w:cs="Times New Roman"/>
          <w:color w:val="000000"/>
          <w:sz w:val="24"/>
          <w:szCs w:val="24"/>
        </w:rPr>
        <w:t>涉及的甲基三甲氧基硅烷原料全部外部采购。</w:t>
      </w:r>
    </w:p>
    <w:p w14:paraId="26464335">
      <w:pPr>
        <w:pStyle w:val="2"/>
        <w:keepNext w:val="0"/>
        <w:keepLines w:val="0"/>
        <w:pageBreakBefore w:val="0"/>
        <w:kinsoku/>
        <w:wordWrap/>
        <w:overflowPunct/>
        <w:topLinePunct w:val="0"/>
        <w:bidi w:val="0"/>
        <w:spacing w:line="336" w:lineRule="auto"/>
        <w:ind w:firstLine="480"/>
        <w:textAlignment w:val="auto"/>
        <w:rPr>
          <w:szCs w:val="21"/>
        </w:rPr>
      </w:pPr>
      <w:r>
        <w:t>（</w:t>
      </w:r>
      <w:r>
        <w:rPr>
          <w:lang w:val="zh-CN"/>
        </w:rPr>
        <w:t>二）</w:t>
      </w:r>
      <w:r>
        <w:t>原环评设计企业</w:t>
      </w:r>
      <w:r>
        <w:rPr>
          <w:szCs w:val="21"/>
        </w:rPr>
        <w:t>所有生产废水经中水回用系统处理达标后中水回用，浓水</w:t>
      </w:r>
      <w:bookmarkStart w:id="1" w:name="OLE_LINK4"/>
      <w:r>
        <w:rPr>
          <w:szCs w:val="21"/>
        </w:rPr>
        <w:t>纳管排入巨化环保科技污水处理厂</w:t>
      </w:r>
      <w:bookmarkEnd w:id="1"/>
      <w:r>
        <w:rPr>
          <w:szCs w:val="21"/>
        </w:rPr>
        <w:t>，</w:t>
      </w:r>
      <w:r>
        <w:t>现阶段</w:t>
      </w:r>
      <w:r>
        <w:rPr>
          <w:rFonts w:hint="eastAsia"/>
          <w:lang w:val="en-US" w:eastAsia="zh-CN"/>
        </w:rPr>
        <w:t>已建设</w:t>
      </w:r>
      <w:r>
        <w:t>中水回用系统1套，处理能力为80t/h，处理工艺为超滤+反渗透，但是未投入使用，生产废水直接</w:t>
      </w:r>
      <w:r>
        <w:rPr>
          <w:szCs w:val="21"/>
        </w:rPr>
        <w:t>纳管排入巨化环保科技污水处理厂。</w:t>
      </w:r>
    </w:p>
    <w:p w14:paraId="6049C4AF">
      <w:pPr>
        <w:pStyle w:val="2"/>
        <w:keepNext w:val="0"/>
        <w:keepLines w:val="0"/>
        <w:pageBreakBefore w:val="0"/>
        <w:kinsoku/>
        <w:wordWrap/>
        <w:overflowPunct/>
        <w:topLinePunct w:val="0"/>
        <w:bidi w:val="0"/>
        <w:spacing w:line="336" w:lineRule="auto"/>
        <w:ind w:firstLine="480"/>
        <w:textAlignment w:val="auto"/>
      </w:pPr>
      <w:r>
        <w:rPr>
          <w:rFonts w:hint="eastAsia"/>
          <w:szCs w:val="21"/>
          <w:lang w:eastAsia="zh-CN"/>
        </w:rPr>
        <w:t>（三）原环评设计生活污水经隔油池、化粪池处理后纳管排放，实际生活污水经化粪池处理后进入水解酸化装置，处理后与低浓度废水共同经pH调节+混凝沉淀处理，纳管排入巨化环保科技污水处理厂。</w:t>
      </w:r>
    </w:p>
    <w:p w14:paraId="066D04D2">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对照《污染影响类建设项目重大变动清单》（试行）》分析，本项目建设不涉及重大变动。</w:t>
      </w:r>
    </w:p>
    <w:p w14:paraId="047075C7">
      <w:pPr>
        <w:keepNext w:val="0"/>
        <w:keepLines w:val="0"/>
        <w:pageBreakBefore w:val="0"/>
        <w:kinsoku/>
        <w:wordWrap/>
        <w:overflowPunct/>
        <w:topLinePunct w:val="0"/>
        <w:bidi w:val="0"/>
        <w:snapToGrid w:val="0"/>
        <w:spacing w:line="336" w:lineRule="auto"/>
        <w:ind w:firstLine="482" w:firstLineChars="200"/>
        <w:textAlignment w:val="auto"/>
        <w:rPr>
          <w:rFonts w:ascii="Times New Roman" w:hAnsi="Times New Roman" w:eastAsia="宋体" w:cs="Times New Roman"/>
          <w:b/>
          <w:sz w:val="24"/>
          <w:szCs w:val="24"/>
        </w:rPr>
      </w:pPr>
      <w:r>
        <w:rPr>
          <w:rFonts w:ascii="Times New Roman" w:hAnsi="Times New Roman" w:eastAsia="宋体" w:cs="Times New Roman"/>
          <w:b/>
          <w:sz w:val="24"/>
          <w:szCs w:val="24"/>
        </w:rPr>
        <w:t>三、环境保护设施落实情况</w:t>
      </w:r>
    </w:p>
    <w:p w14:paraId="3733B45E">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auto"/>
          <w:lang w:val="zh-CN"/>
        </w:rPr>
      </w:pPr>
      <w:r>
        <w:rPr>
          <w:rFonts w:ascii="Times New Roman" w:hAnsi="Times New Roman" w:cs="Times New Roman"/>
          <w:color w:val="auto"/>
        </w:rPr>
        <w:t>（</w:t>
      </w:r>
      <w:r>
        <w:rPr>
          <w:rFonts w:ascii="Times New Roman" w:hAnsi="Times New Roman" w:cs="Times New Roman"/>
          <w:color w:val="auto"/>
          <w:lang w:val="zh-CN"/>
        </w:rPr>
        <w:t>一）废水</w:t>
      </w:r>
    </w:p>
    <w:p w14:paraId="51A07944">
      <w:pPr>
        <w:keepNext w:val="0"/>
        <w:keepLines w:val="0"/>
        <w:pageBreakBefore w:val="0"/>
        <w:kinsoku/>
        <w:wordWrap/>
        <w:overflowPunct/>
        <w:topLinePunct w:val="0"/>
        <w:bidi w:val="0"/>
        <w:snapToGrid w:val="0"/>
        <w:spacing w:line="336" w:lineRule="auto"/>
        <w:ind w:firstLine="480" w:firstLineChars="200"/>
        <w:jc w:val="left"/>
        <w:textAlignment w:val="auto"/>
        <w:rPr>
          <w:rFonts w:ascii="Times New Roman" w:hAnsi="Times New Roman" w:eastAsia="宋体" w:cs="Times New Roman"/>
          <w:sz w:val="24"/>
        </w:rPr>
      </w:pPr>
      <w:r>
        <w:rPr>
          <w:rFonts w:ascii="Times New Roman" w:hAnsi="Times New Roman" w:eastAsia="宋体" w:cs="Times New Roman"/>
          <w:sz w:val="24"/>
        </w:rPr>
        <w:t>本项目现阶段产生的废水主要为BBQ甲醇回收废水、设备清洗废水、BBQ循环冷却水系统排水、BBQ废气冷凝废水、废气喷淋废水、初期雨水、纯水制备浓水、车间地坪冲洗水和生活污水。按照高低浓度分类收集，其中高浓度废水为废气喷淋废水、BBQ甲醇回收废水，低浓度废水为设备清洗废水、BBQ循环冷却水系统排水、BBQ废气冷凝废水、初期雨水、纯水制备浓水、车间地坪冲洗水。</w:t>
      </w:r>
    </w:p>
    <w:p w14:paraId="36F9B607">
      <w:pPr>
        <w:keepNext w:val="0"/>
        <w:keepLines w:val="0"/>
        <w:pageBreakBefore w:val="0"/>
        <w:kinsoku/>
        <w:wordWrap/>
        <w:overflowPunct/>
        <w:topLinePunct w:val="0"/>
        <w:bidi w:val="0"/>
        <w:snapToGrid w:val="0"/>
        <w:spacing w:line="336" w:lineRule="auto"/>
        <w:ind w:firstLine="480" w:firstLineChars="200"/>
        <w:jc w:val="left"/>
        <w:textAlignment w:val="auto"/>
        <w:rPr>
          <w:rFonts w:ascii="Times New Roman" w:hAnsi="Times New Roman" w:eastAsia="宋体" w:cs="Times New Roman"/>
          <w:sz w:val="24"/>
        </w:rPr>
      </w:pPr>
      <w:r>
        <w:rPr>
          <w:rFonts w:ascii="Times New Roman" w:hAnsi="Times New Roman" w:eastAsia="宋体" w:cs="Times New Roman"/>
          <w:sz w:val="24"/>
        </w:rPr>
        <w:t>厂区排水实行雨污分流，雨水收集后排入市政雨水管网。高浓度废水中BBQ甲醇回收废水经涡凹气浮装置预处理后与废气喷淋废水一同经pH调节+臭氧氧化+混凝沉淀+高温冷却+水解酸化+好氧+二沉处理（经化粪池处理后的生活污水进入</w:t>
      </w:r>
      <w:r>
        <w:rPr>
          <w:rFonts w:ascii="Times New Roman" w:hAnsi="Times New Roman" w:eastAsia="宋体" w:cs="Times New Roman"/>
          <w:sz w:val="24"/>
          <w:highlight w:val="none"/>
        </w:rPr>
        <w:t>水解酸化</w:t>
      </w:r>
      <w:r>
        <w:rPr>
          <w:rFonts w:ascii="Times New Roman" w:hAnsi="Times New Roman" w:eastAsia="宋体" w:cs="Times New Roman"/>
          <w:sz w:val="24"/>
        </w:rPr>
        <w:t>装置），处理后与低浓度废水（设备清洗废水、BBQ循环冷却水系统排水、BBQ废气冷凝废水、初期雨水、纯水制备浓水、车间地坪冲洗水）进行pH调节+混凝沉淀处理，处理后纳管排入巨化环保科技污水处理厂。</w:t>
      </w:r>
    </w:p>
    <w:p w14:paraId="5E4D61D0">
      <w:pPr>
        <w:keepNext w:val="0"/>
        <w:keepLines w:val="0"/>
        <w:pageBreakBefore w:val="0"/>
        <w:kinsoku/>
        <w:wordWrap/>
        <w:overflowPunct/>
        <w:topLinePunct w:val="0"/>
        <w:bidi w:val="0"/>
        <w:snapToGrid w:val="0"/>
        <w:spacing w:line="336" w:lineRule="auto"/>
        <w:ind w:firstLine="480" w:firstLineChars="200"/>
        <w:jc w:val="left"/>
        <w:textAlignment w:val="auto"/>
        <w:rPr>
          <w:rFonts w:ascii="Times New Roman" w:hAnsi="Times New Roman" w:eastAsia="宋体" w:cs="Times New Roman"/>
          <w:sz w:val="24"/>
        </w:rPr>
      </w:pPr>
      <w:r>
        <w:rPr>
          <w:rFonts w:ascii="Times New Roman" w:hAnsi="Times New Roman" w:eastAsia="宋体" w:cs="Times New Roman"/>
          <w:sz w:val="24"/>
        </w:rPr>
        <w:t>本项目厂区设高浓度废水处理设施1套，处理工艺为涡凹气浮+pH调节+臭氧氧化+混凝沉淀+高温冷却+水解酸化+好氧+二沉，设计规模为1000t/d；设低浓度废水预处理设施1套，处理工艺为pH调节+混凝沉淀，设计规模为1000t/d。设中水回用系统1套，处理能力为80t/h，处理工艺为超滤+反渗透，实际中水回用系统未使用。</w:t>
      </w:r>
    </w:p>
    <w:p w14:paraId="02F5D5FD">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auto"/>
          <w:lang w:val="zh-CN"/>
        </w:rPr>
      </w:pPr>
      <w:r>
        <w:rPr>
          <w:rFonts w:ascii="Times New Roman" w:hAnsi="Times New Roman" w:cs="Times New Roman"/>
          <w:color w:val="auto"/>
          <w:lang w:val="zh-CN"/>
        </w:rPr>
        <w:t>（二）废气</w:t>
      </w:r>
    </w:p>
    <w:p w14:paraId="7762FE68">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rPr>
        <w:t>本项目</w:t>
      </w:r>
      <w:r>
        <w:rPr>
          <w:rFonts w:hint="eastAsia" w:ascii="Times New Roman" w:hAnsi="Times New Roman" w:cs="Times New Roman"/>
          <w:lang w:val="en-US" w:eastAsia="zh-CN"/>
        </w:rPr>
        <w:t>有组织</w:t>
      </w:r>
      <w:r>
        <w:rPr>
          <w:rFonts w:ascii="Times New Roman" w:hAnsi="Times New Roman" w:cs="Times New Roman"/>
        </w:rPr>
        <w:t>废气有BBQ工艺废气、</w:t>
      </w:r>
      <w:r>
        <w:rPr>
          <w:rFonts w:hint="eastAsia" w:ascii="Times New Roman" w:hAnsi="Times New Roman" w:cs="Times New Roman"/>
          <w:lang w:val="en-US" w:eastAsia="zh-CN"/>
        </w:rPr>
        <w:t>包装废气和</w:t>
      </w:r>
      <w:r>
        <w:rPr>
          <w:rFonts w:ascii="Times New Roman" w:hAnsi="Times New Roman" w:cs="Times New Roman"/>
        </w:rPr>
        <w:t>污水站</w:t>
      </w:r>
      <w:r>
        <w:rPr>
          <w:rFonts w:hint="eastAsia" w:ascii="Times New Roman" w:hAnsi="Times New Roman" w:cs="Times New Roman"/>
          <w:lang w:val="en-US" w:eastAsia="zh-CN"/>
        </w:rPr>
        <w:t>废气</w:t>
      </w:r>
      <w:r>
        <w:rPr>
          <w:rFonts w:ascii="Times New Roman" w:hAnsi="Times New Roman" w:cs="Times New Roman"/>
          <w:color w:val="auto"/>
        </w:rPr>
        <w:t>。</w:t>
      </w:r>
    </w:p>
    <w:p w14:paraId="24DF97BC">
      <w:pPr>
        <w:pStyle w:val="20"/>
        <w:keepNext w:val="0"/>
        <w:keepLines w:val="0"/>
        <w:pageBreakBefore w:val="0"/>
        <w:kinsoku/>
        <w:wordWrap/>
        <w:overflowPunct/>
        <w:topLinePunct w:val="0"/>
        <w:bidi w:val="0"/>
        <w:snapToGrid w:val="0"/>
        <w:spacing w:line="336" w:lineRule="auto"/>
        <w:ind w:firstLine="480" w:firstLineChars="200"/>
        <w:textAlignment w:val="auto"/>
        <w:rPr>
          <w:rFonts w:hint="eastAsia" w:ascii="Times New Roman" w:hAnsi="Times New Roman" w:cs="Times New Roman"/>
          <w:lang w:eastAsia="zh-CN"/>
        </w:rPr>
      </w:pPr>
      <w:r>
        <w:rPr>
          <w:rFonts w:ascii="Times New Roman" w:hAnsi="Times New Roman" w:cs="Times New Roman"/>
        </w:rPr>
        <w:t>BBQ工艺废气设置1套二级冷凝+水喷淋+酸喷淋+三级干式过滤+活性炭吸附装置处理达标后15m高排放（DA002）</w:t>
      </w:r>
      <w:r>
        <w:rPr>
          <w:rFonts w:hint="eastAsia" w:ascii="Times New Roman" w:hAnsi="Times New Roman" w:cs="Times New Roman"/>
          <w:lang w:eastAsia="zh-CN"/>
        </w:rPr>
        <w:t>。</w:t>
      </w:r>
    </w:p>
    <w:p w14:paraId="64920558">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rPr>
      </w:pPr>
      <w:r>
        <w:rPr>
          <w:rFonts w:ascii="Times New Roman" w:hAnsi="Times New Roman" w:cs="Times New Roman"/>
        </w:rPr>
        <w:t>包装废气经布袋除尘处理达标后与BBQ工艺废气一起通过DA002排放。</w:t>
      </w:r>
    </w:p>
    <w:p w14:paraId="31E4F731">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rPr>
      </w:pPr>
      <w:r>
        <w:rPr>
          <w:rFonts w:ascii="Times New Roman" w:hAnsi="Times New Roman" w:cs="Times New Roman"/>
        </w:rPr>
        <w:t>污水站</w:t>
      </w:r>
      <w:r>
        <w:rPr>
          <w:rFonts w:hint="eastAsia" w:ascii="Times New Roman" w:hAnsi="Times New Roman" w:cs="Times New Roman"/>
          <w:lang w:val="en-US" w:eastAsia="zh-CN"/>
        </w:rPr>
        <w:t>废气</w:t>
      </w:r>
      <w:r>
        <w:rPr>
          <w:rFonts w:ascii="Times New Roman" w:hAnsi="Times New Roman" w:cs="Times New Roman"/>
        </w:rPr>
        <w:t>设置1套水喷淋+碱喷淋装置处理达标后15m高排放（DA003）。</w:t>
      </w:r>
    </w:p>
    <w:p w14:paraId="7252483F">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auto"/>
          <w:kern w:val="22"/>
          <w:lang w:val="zh-CN"/>
        </w:rPr>
      </w:pPr>
      <w:r>
        <w:rPr>
          <w:rFonts w:ascii="Times New Roman" w:hAnsi="Times New Roman" w:cs="Times New Roman"/>
          <w:color w:val="auto"/>
          <w:kern w:val="22"/>
          <w:lang w:val="zh-CN"/>
        </w:rPr>
        <w:t>（三）噪声</w:t>
      </w:r>
    </w:p>
    <w:p w14:paraId="60819750">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color w:val="auto"/>
        </w:rPr>
        <w:t>本项目车间内对高噪声设备采取防震、降噪措施；选用低噪声设备；平时加强设备的维护，确保设备处于良好的运转状态，杜绝因设备不正常运转时产生的高噪声现象，厂界设置绿化带。</w:t>
      </w:r>
    </w:p>
    <w:p w14:paraId="1B4793B1">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color w:val="auto"/>
        </w:rPr>
        <w:t>项目周边200m范围内无声环境保护目标。</w:t>
      </w:r>
    </w:p>
    <w:p w14:paraId="3DACEF2B">
      <w:pPr>
        <w:pStyle w:val="20"/>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cs="Times New Roman"/>
          <w:color w:val="auto"/>
          <w:lang w:val="zh-CN"/>
        </w:rPr>
      </w:pPr>
      <w:r>
        <w:rPr>
          <w:rFonts w:ascii="Times New Roman" w:hAnsi="Times New Roman" w:cs="Times New Roman"/>
          <w:color w:val="auto"/>
          <w:lang w:val="zh-CN"/>
        </w:rPr>
        <w:t>（四）固体废物</w:t>
      </w:r>
    </w:p>
    <w:p w14:paraId="18A10A4E">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项目实际产生固废主要为废模组件（陶瓷旋转膜浓缩）、废活性炭、废分子筛、废过滤材料、废布袋、废塑料袋（沾染危化品的）、废包装桶（沾染危化品的）、废机油、废含油抹布、劳保用品、废模组件（废水处理）、污泥、废膜组件（纯水制备</w:t>
      </w:r>
      <w:r>
        <w:rPr>
          <w:rFonts w:hint="eastAsia" w:ascii="Times New Roman" w:hAnsi="Times New Roman" w:cs="Times New Roman"/>
          <w:kern w:val="0"/>
          <w:sz w:val="24"/>
          <w:szCs w:val="24"/>
          <w:lang w:eastAsia="zh-CN"/>
        </w:rPr>
        <w:t>）、</w:t>
      </w:r>
      <w:r>
        <w:rPr>
          <w:rFonts w:hint="eastAsia" w:ascii="Times New Roman" w:hAnsi="Times New Roman" w:cs="Times New Roman"/>
          <w:kern w:val="0"/>
          <w:sz w:val="24"/>
          <w:szCs w:val="24"/>
          <w:lang w:val="en-US" w:eastAsia="zh-CN"/>
        </w:rPr>
        <w:t>化验</w:t>
      </w:r>
      <w:r>
        <w:rPr>
          <w:rFonts w:hint="eastAsia" w:ascii="Times New Roman" w:hAnsi="Times New Roman" w:cs="Times New Roman"/>
          <w:kern w:val="0"/>
          <w:sz w:val="24"/>
          <w:szCs w:val="24"/>
          <w:lang w:eastAsia="zh-CN"/>
        </w:rPr>
        <w:t>室废液</w:t>
      </w:r>
      <w:r>
        <w:rPr>
          <w:rFonts w:ascii="Times New Roman" w:hAnsi="Times New Roman" w:eastAsia="宋体" w:cs="Times New Roman"/>
          <w:kern w:val="0"/>
          <w:sz w:val="24"/>
          <w:szCs w:val="24"/>
        </w:rPr>
        <w:t>以及生活垃圾。</w:t>
      </w:r>
    </w:p>
    <w:p w14:paraId="1C3960DB">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危险固废：废模组件（陶瓷旋转膜浓缩）、废活性炭、废分子筛、废过滤材料、废布袋、废塑料袋（沾染危化品的）、废包装桶（沾染危化品的）、废机油废含油抹布、劳保用品、废模组件（废水处理）、污泥</w:t>
      </w:r>
      <w:r>
        <w:rPr>
          <w:rFonts w:hint="eastAsia" w:ascii="Times New Roman" w:hAnsi="Times New Roman" w:eastAsia="宋体" w:cs="Times New Roman"/>
          <w:kern w:val="0"/>
          <w:sz w:val="24"/>
          <w:szCs w:val="24"/>
          <w:lang w:eastAsia="zh-CN"/>
        </w:rPr>
        <w:t>和</w:t>
      </w:r>
      <w:r>
        <w:rPr>
          <w:rFonts w:hint="eastAsia" w:ascii="Times New Roman" w:hAnsi="Times New Roman" w:cs="Times New Roman"/>
          <w:kern w:val="0"/>
          <w:sz w:val="24"/>
          <w:szCs w:val="24"/>
          <w:lang w:val="en-US" w:eastAsia="zh-CN"/>
        </w:rPr>
        <w:t>化验</w:t>
      </w:r>
      <w:r>
        <w:rPr>
          <w:rFonts w:hint="eastAsia" w:ascii="Times New Roman" w:hAnsi="Times New Roman" w:eastAsia="宋体" w:cs="Times New Roman"/>
          <w:kern w:val="0"/>
          <w:sz w:val="24"/>
          <w:szCs w:val="24"/>
          <w:lang w:eastAsia="zh-CN"/>
        </w:rPr>
        <w:t>室废液</w:t>
      </w:r>
      <w:r>
        <w:rPr>
          <w:rFonts w:ascii="Times New Roman" w:hAnsi="Times New Roman" w:eastAsia="宋体" w:cs="Times New Roman"/>
          <w:kern w:val="0"/>
          <w:sz w:val="24"/>
          <w:szCs w:val="24"/>
        </w:rPr>
        <w:t>分类收集后委托浙江巨化环保科技有限公司进行处置。</w:t>
      </w:r>
    </w:p>
    <w:p w14:paraId="69F19F1D">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一般固废：废膜组件（纯水制备）由供应厂家回收处理。</w:t>
      </w:r>
    </w:p>
    <w:p w14:paraId="757214FE">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生活垃圾：委托环卫部门处置。</w:t>
      </w:r>
    </w:p>
    <w:p w14:paraId="44153FD0">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企业现阶段设置危险固废暂存间位于厂区罐区东侧，占地面积</w:t>
      </w:r>
      <w:r>
        <w:rPr>
          <w:rFonts w:hint="eastAsia" w:ascii="Times New Roman" w:hAnsi="Times New Roman" w:cs="Times New Roman"/>
          <w:kern w:val="0"/>
          <w:sz w:val="24"/>
          <w:szCs w:val="24"/>
          <w:lang w:val="en-US" w:eastAsia="zh-CN"/>
        </w:rPr>
        <w:t>28</w:t>
      </w:r>
      <w:r>
        <w:rPr>
          <w:rFonts w:ascii="Times New Roman" w:hAnsi="Times New Roman" w:eastAsia="宋体" w:cs="Times New Roman"/>
          <w:kern w:val="0"/>
          <w:sz w:val="24"/>
          <w:szCs w:val="24"/>
        </w:rPr>
        <w:t>0m</w:t>
      </w:r>
      <w:r>
        <w:rPr>
          <w:rFonts w:ascii="Times New Roman" w:hAnsi="Times New Roman" w:eastAsia="宋体" w:cs="Times New Roman"/>
          <w:kern w:val="0"/>
          <w:sz w:val="24"/>
          <w:szCs w:val="24"/>
          <w:vertAlign w:val="superscript"/>
        </w:rPr>
        <w:t>2</w:t>
      </w:r>
      <w:r>
        <w:rPr>
          <w:rFonts w:ascii="Times New Roman" w:hAnsi="Times New Roman" w:eastAsia="宋体" w:cs="Times New Roman"/>
          <w:kern w:val="0"/>
          <w:sz w:val="24"/>
          <w:szCs w:val="24"/>
        </w:rPr>
        <w:t>，</w:t>
      </w:r>
      <w:r>
        <w:rPr>
          <w:rFonts w:ascii="Times New Roman" w:hAnsi="Times New Roman" w:cs="Times New Roman"/>
          <w:sz w:val="24"/>
        </w:rPr>
        <w:t>已按照相关规范要求进行设计建设，已按要求做好防雨、防漏、防腐、防渗等措施，粘贴有危废标签、危废仓库分区图，仓库外张贴危废仓库标识，并由专人管理；另外建立固体废物台账管理、申报制度，对每次危险固废进出厂区时间、数量设专人进行记录以及存档，实施转移联单制度，并向生态环境部门申报。危废暂存间基本满足《危险废物贮存污染控制标准》（GB18597-2023）和《危险废物识别标志设置技术规范》（HJ1276-2022）要求。</w:t>
      </w:r>
    </w:p>
    <w:p w14:paraId="7C89F78C">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企业现阶段设置一般固废仓库，占地面积</w:t>
      </w:r>
      <w:r>
        <w:rPr>
          <w:rFonts w:hint="eastAsia" w:ascii="Times New Roman" w:hAnsi="Times New Roman" w:cs="Times New Roman"/>
          <w:kern w:val="0"/>
          <w:sz w:val="24"/>
          <w:szCs w:val="24"/>
          <w:lang w:val="en-US" w:eastAsia="zh-CN"/>
        </w:rPr>
        <w:t>10</w:t>
      </w:r>
      <w:r>
        <w:rPr>
          <w:rFonts w:ascii="Times New Roman" w:hAnsi="Times New Roman" w:eastAsia="宋体" w:cs="Times New Roman"/>
          <w:kern w:val="0"/>
          <w:sz w:val="24"/>
          <w:szCs w:val="24"/>
        </w:rPr>
        <w:t>0m</w:t>
      </w:r>
      <w:r>
        <w:rPr>
          <w:rFonts w:ascii="Times New Roman" w:hAnsi="Times New Roman" w:eastAsia="宋体" w:cs="Times New Roman"/>
          <w:kern w:val="0"/>
          <w:sz w:val="24"/>
          <w:szCs w:val="24"/>
          <w:vertAlign w:val="superscript"/>
        </w:rPr>
        <w:t>2</w:t>
      </w:r>
      <w:r>
        <w:rPr>
          <w:rFonts w:ascii="Times New Roman" w:hAnsi="Times New Roman" w:eastAsia="宋体" w:cs="Times New Roman"/>
          <w:kern w:val="0"/>
          <w:sz w:val="24"/>
          <w:szCs w:val="24"/>
        </w:rPr>
        <w:t>，已做到</w:t>
      </w:r>
      <w:r>
        <w:rPr>
          <w:rFonts w:ascii="Times New Roman" w:hAnsi="Times New Roman" w:cs="Times New Roman"/>
          <w:sz w:val="24"/>
        </w:rPr>
        <w:t>防渗漏、防雨淋、防扬尘等环境保护要求。</w:t>
      </w:r>
    </w:p>
    <w:p w14:paraId="1E85F3C8">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（五）其他</w:t>
      </w:r>
    </w:p>
    <w:p w14:paraId="432EB428">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1.在线监测装置</w:t>
      </w:r>
    </w:p>
    <w:p w14:paraId="2474F993">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cs="Times New Roman"/>
          <w:sz w:val="24"/>
          <w:szCs w:val="24"/>
          <w:lang w:bidi="en-US"/>
        </w:rPr>
        <w:t>本项目已设置规范的废水、废气污染物排放口，并贴有标识标牌，已在废水处理设施出口安装在线监测设备（指标为：pH值、化学需氧量、氨氮、流量），并与生态环境部门联网</w:t>
      </w:r>
      <w:r>
        <w:rPr>
          <w:rFonts w:ascii="Times New Roman" w:hAnsi="Times New Roman" w:eastAsia="宋体" w:cs="Times New Roman"/>
          <w:kern w:val="0"/>
          <w:sz w:val="24"/>
          <w:szCs w:val="24"/>
        </w:rPr>
        <w:t>。</w:t>
      </w:r>
    </w:p>
    <w:p w14:paraId="68AE4364">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2.环境风险防范</w:t>
      </w:r>
    </w:p>
    <w:p w14:paraId="192F0551">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企业已编制完成了《</w:t>
      </w:r>
      <w:bookmarkStart w:id="2" w:name="_Toc1728"/>
      <w:bookmarkStart w:id="3" w:name="_Toc16836"/>
      <w:bookmarkStart w:id="4" w:name="_Toc22275"/>
      <w:r>
        <w:rPr>
          <w:rFonts w:ascii="Times New Roman" w:hAnsi="Times New Roman" w:eastAsia="宋体" w:cs="Times New Roman"/>
          <w:kern w:val="0"/>
          <w:sz w:val="24"/>
          <w:szCs w:val="24"/>
        </w:rPr>
        <w:t>衢州三时纪新材料有限公司</w:t>
      </w:r>
      <w:bookmarkEnd w:id="2"/>
      <w:bookmarkEnd w:id="3"/>
      <w:bookmarkStart w:id="5" w:name="_Toc23545"/>
      <w:bookmarkStart w:id="6" w:name="_Toc12797"/>
      <w:r>
        <w:rPr>
          <w:rFonts w:ascii="Times New Roman" w:hAnsi="Times New Roman" w:eastAsia="宋体" w:cs="Times New Roman"/>
          <w:kern w:val="0"/>
          <w:sz w:val="24"/>
          <w:szCs w:val="24"/>
        </w:rPr>
        <w:t>突发环境事件应急预案</w:t>
      </w:r>
      <w:bookmarkEnd w:id="4"/>
      <w:bookmarkEnd w:id="5"/>
      <w:bookmarkEnd w:id="6"/>
      <w:r>
        <w:rPr>
          <w:rFonts w:ascii="Times New Roman" w:hAnsi="Times New Roman" w:eastAsia="宋体" w:cs="Times New Roman"/>
          <w:kern w:val="0"/>
          <w:sz w:val="24"/>
          <w:szCs w:val="24"/>
        </w:rPr>
        <w:t>》，并于2024年04月29日在衢州市生态环境局智造新城分局完成备案，备案编号为：330802-2024-050-H。已按要求建设事故应急池（1500m</w:t>
      </w:r>
      <w:r>
        <w:rPr>
          <w:rFonts w:ascii="Times New Roman" w:hAnsi="Times New Roman" w:eastAsia="宋体" w:cs="Times New Roman"/>
          <w:kern w:val="0"/>
          <w:sz w:val="24"/>
          <w:szCs w:val="24"/>
          <w:vertAlign w:val="superscript"/>
        </w:rPr>
        <w:t>3</w:t>
      </w:r>
      <w:r>
        <w:rPr>
          <w:rFonts w:ascii="Times New Roman" w:hAnsi="Times New Roman" w:eastAsia="宋体" w:cs="Times New Roman"/>
          <w:kern w:val="0"/>
          <w:sz w:val="24"/>
          <w:szCs w:val="24"/>
        </w:rPr>
        <w:t>）、初期雨水收集池（1000m</w:t>
      </w:r>
      <w:r>
        <w:rPr>
          <w:rFonts w:ascii="Times New Roman" w:hAnsi="Times New Roman" w:eastAsia="宋体" w:cs="Times New Roman"/>
          <w:kern w:val="0"/>
          <w:sz w:val="24"/>
          <w:szCs w:val="24"/>
          <w:vertAlign w:val="superscript"/>
        </w:rPr>
        <w:t>3</w:t>
      </w:r>
      <w:r>
        <w:rPr>
          <w:rFonts w:ascii="Times New Roman" w:hAnsi="Times New Roman" w:eastAsia="宋体" w:cs="Times New Roman"/>
          <w:kern w:val="0"/>
          <w:sz w:val="24"/>
          <w:szCs w:val="24"/>
        </w:rPr>
        <w:t>），基本落实了环评报告中的风险防范措施，配备了相应的应急物资，满足应急处置需要。</w:t>
      </w:r>
    </w:p>
    <w:p w14:paraId="0D182496">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3.其他</w:t>
      </w:r>
      <w:r>
        <w:rPr>
          <w:rFonts w:hint="eastAsia" w:ascii="Times New Roman" w:hAnsi="Times New Roman" w:eastAsia="宋体" w:cs="Times New Roman"/>
          <w:kern w:val="0"/>
          <w:sz w:val="24"/>
          <w:szCs w:val="24"/>
          <w:lang w:eastAsia="zh-CN"/>
        </w:rPr>
        <w:t>措施</w:t>
      </w:r>
    </w:p>
    <w:p w14:paraId="6661AA78">
      <w:pPr>
        <w:keepNext w:val="0"/>
        <w:keepLines w:val="0"/>
        <w:pageBreakBefore w:val="0"/>
        <w:kinsoku/>
        <w:wordWrap/>
        <w:overflowPunct/>
        <w:topLinePunct w:val="0"/>
        <w:bidi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本项目不涉及“以新带老”、淘汰落后生产装置、生态恢复工程、绿化工程、边坡防护工程等其他环境保护设施。</w:t>
      </w:r>
      <w:r>
        <w:rPr>
          <w:rFonts w:hint="eastAsia" w:ascii="Times New Roman" w:hAnsi="Times New Roman" w:eastAsia="宋体" w:cs="Times New Roman"/>
          <w:kern w:val="0"/>
          <w:sz w:val="24"/>
          <w:szCs w:val="24"/>
          <w:lang w:eastAsia="zh-CN"/>
        </w:rPr>
        <w:t>废水、废气处理设施相关数据已联入</w:t>
      </w:r>
      <w:r>
        <w:rPr>
          <w:rFonts w:hint="default" w:ascii="Times New Roman" w:hAnsi="Times New Roman" w:eastAsia="宋体" w:cs="Times New Roman"/>
          <w:kern w:val="0"/>
          <w:sz w:val="24"/>
          <w:szCs w:val="24"/>
          <w:lang w:val="en-US" w:eastAsia="zh-CN"/>
        </w:rPr>
        <w:t>DCS</w:t>
      </w:r>
      <w:r>
        <w:rPr>
          <w:rFonts w:hint="eastAsia" w:ascii="Times New Roman" w:hAnsi="Times New Roman" w:eastAsia="宋体" w:cs="Times New Roman"/>
          <w:kern w:val="0"/>
          <w:sz w:val="24"/>
          <w:szCs w:val="24"/>
          <w:lang w:val="en-US" w:eastAsia="zh-CN"/>
        </w:rPr>
        <w:t>系统。</w:t>
      </w:r>
    </w:p>
    <w:p w14:paraId="36921E1F">
      <w:pPr>
        <w:keepNext w:val="0"/>
        <w:keepLines w:val="0"/>
        <w:pageBreakBefore w:val="0"/>
        <w:kinsoku/>
        <w:wordWrap/>
        <w:overflowPunct/>
        <w:topLinePunct w:val="0"/>
        <w:bidi w:val="0"/>
        <w:snapToGrid w:val="0"/>
        <w:spacing w:line="336" w:lineRule="auto"/>
        <w:ind w:firstLine="482" w:firstLineChars="200"/>
        <w:textAlignment w:val="auto"/>
        <w:rPr>
          <w:rFonts w:ascii="Times New Roman" w:hAnsi="Times New Roman" w:eastAsia="宋体" w:cs="Times New Roman"/>
          <w:b/>
          <w:sz w:val="24"/>
          <w:szCs w:val="24"/>
        </w:rPr>
      </w:pPr>
      <w:r>
        <w:rPr>
          <w:rFonts w:ascii="Times New Roman" w:hAnsi="Times New Roman" w:eastAsia="宋体" w:cs="Times New Roman"/>
          <w:b/>
          <w:sz w:val="24"/>
          <w:szCs w:val="24"/>
        </w:rPr>
        <w:t>四、环境保护设施调试效果</w:t>
      </w:r>
    </w:p>
    <w:p w14:paraId="6EF5A391">
      <w:pPr>
        <w:keepNext w:val="0"/>
        <w:keepLines w:val="0"/>
        <w:pageBreakBefore w:val="0"/>
        <w:kinsoku/>
        <w:wordWrap/>
        <w:overflowPunct/>
        <w:topLinePunct w:val="0"/>
        <w:bidi w:val="0"/>
        <w:snapToGrid w:val="0"/>
        <w:spacing w:line="336"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浙江高鑫安全检测科技有限公司对该项目进行了环境保护验收监测，监测报告编号为高鑫（验）字20251102号。验收监测期间，该项目生产工况正常，符合竣工验收工况负荷要求（验收期间生产工况负荷大于75%）。各类污染物排放的监测结果如下：</w:t>
      </w:r>
    </w:p>
    <w:p w14:paraId="0D0EA6D1">
      <w:pPr>
        <w:keepNext w:val="0"/>
        <w:keepLines w:val="0"/>
        <w:pageBreakBefore w:val="0"/>
        <w:kinsoku/>
        <w:wordWrap/>
        <w:overflowPunct/>
        <w:topLinePunct w:val="0"/>
        <w:bidi w:val="0"/>
        <w:snapToGrid w:val="0"/>
        <w:spacing w:line="336"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（一）环保设施去除效率</w:t>
      </w:r>
    </w:p>
    <w:p w14:paraId="6411EDD9">
      <w:pPr>
        <w:keepNext w:val="0"/>
        <w:keepLines w:val="0"/>
        <w:pageBreakBefore w:val="0"/>
        <w:kinsoku/>
        <w:wordWrap/>
        <w:overflowPunct/>
        <w:topLinePunct w:val="0"/>
        <w:bidi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1.废水</w:t>
      </w:r>
    </w:p>
    <w:p w14:paraId="14F9013B">
      <w:pPr>
        <w:keepNext w:val="0"/>
        <w:keepLines w:val="0"/>
        <w:pageBreakBefore w:val="0"/>
        <w:kinsoku/>
        <w:wordWrap/>
        <w:overflowPunct/>
        <w:topLinePunct w:val="0"/>
        <w:bidi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本项目综合废水处理设施（DW001）悬浮物两天的去除率分别为82.1%和82.4%，化学需氧量两天的去除率分别为82.9%和81.8%，石油类两天的去除率分别为78.8%和68.0%，，动植物油类两天的去除率分别为61.0%和72.0%，氨氮两天的去除率分别为98.0%和97.7%，阴离子表面活性剂两天的去除率分别为85.9%和84.7%，总氮两天的去除率分别为96.2%和95.5%。</w:t>
      </w:r>
    </w:p>
    <w:p w14:paraId="7892EF1D">
      <w:pPr>
        <w:keepNext w:val="0"/>
        <w:keepLines w:val="0"/>
        <w:pageBreakBefore w:val="0"/>
        <w:kinsoku/>
        <w:wordWrap/>
        <w:overflowPunct/>
        <w:topLinePunct w:val="0"/>
        <w:bidi w:val="0"/>
        <w:spacing w:line="336" w:lineRule="auto"/>
        <w:ind w:firstLine="480" w:firstLineChars="200"/>
        <w:textAlignment w:val="auto"/>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2.废气</w:t>
      </w:r>
      <w:r>
        <w:rPr>
          <w:rFonts w:hint="eastAsia" w:ascii="Times New Roman" w:hAnsi="Times New Roman" w:eastAsia="宋体" w:cs="Times New Roman"/>
          <w:sz w:val="24"/>
          <w:szCs w:val="24"/>
          <w:lang w:val="en-US" w:eastAsia="zh-CN"/>
        </w:rPr>
        <w:t xml:space="preserve"> </w:t>
      </w:r>
    </w:p>
    <w:p w14:paraId="4F8EF354">
      <w:pPr>
        <w:keepNext w:val="0"/>
        <w:keepLines w:val="0"/>
        <w:pageBreakBefore w:val="0"/>
        <w:kinsoku/>
        <w:wordWrap/>
        <w:overflowPunct/>
        <w:topLinePunct w:val="0"/>
        <w:bidi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本项目BBQ废气处理设施（DA002）VOC</w:t>
      </w:r>
      <w:r>
        <w:rPr>
          <w:rFonts w:ascii="Times New Roman" w:hAnsi="Times New Roman" w:eastAsia="宋体" w:cs="Times New Roman"/>
          <w:sz w:val="24"/>
          <w:szCs w:val="24"/>
          <w:vertAlign w:val="subscript"/>
        </w:rPr>
        <w:t>S</w:t>
      </w:r>
      <w:r>
        <w:rPr>
          <w:rFonts w:ascii="Times New Roman" w:hAnsi="Times New Roman" w:eastAsia="宋体" w:cs="Times New Roman"/>
          <w:sz w:val="24"/>
          <w:szCs w:val="24"/>
        </w:rPr>
        <w:t>两天的去除率分别为92.0%和92.3%，氨两天的去除率分别为58.5%和63.8%，，甲醇两天的去除率分别为92.7%和91.8%。</w:t>
      </w:r>
    </w:p>
    <w:p w14:paraId="4927941F">
      <w:pPr>
        <w:keepNext w:val="0"/>
        <w:keepLines w:val="0"/>
        <w:pageBreakBefore w:val="0"/>
        <w:kinsoku/>
        <w:wordWrap/>
        <w:overflowPunct/>
        <w:topLinePunct w:val="0"/>
        <w:bidi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本项目污水处理设施排气筒（DA00</w:t>
      </w: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）VOC</w:t>
      </w:r>
      <w:r>
        <w:rPr>
          <w:rFonts w:hint="eastAsia" w:ascii="Times New Roman" w:hAnsi="Times New Roman" w:eastAsia="宋体" w:cs="Times New Roman"/>
          <w:sz w:val="24"/>
          <w:szCs w:val="24"/>
          <w:lang w:val="en-US" w:eastAsia="zh-CN"/>
        </w:rPr>
        <w:t>s</w:t>
      </w:r>
      <w:r>
        <w:rPr>
          <w:rFonts w:ascii="Times New Roman" w:hAnsi="Times New Roman" w:eastAsia="宋体" w:cs="Times New Roman"/>
          <w:sz w:val="24"/>
          <w:szCs w:val="24"/>
        </w:rPr>
        <w:t>两天的去除率分别为46.9%和53.0%，氨两天的去除率分别为66.2%和73.5%，硫化氢两天的去除率分别为85.6%和79.6%。</w:t>
      </w:r>
    </w:p>
    <w:p w14:paraId="51C71F6F">
      <w:pPr>
        <w:keepNext w:val="0"/>
        <w:keepLines w:val="0"/>
        <w:pageBreakBefore w:val="0"/>
        <w:kinsoku/>
        <w:wordWrap/>
        <w:overflowPunct/>
        <w:topLinePunct w:val="0"/>
        <w:bidi w:val="0"/>
        <w:snapToGrid w:val="0"/>
        <w:spacing w:line="336"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（二）污染物排放情况</w:t>
      </w:r>
    </w:p>
    <w:p w14:paraId="27686886">
      <w:pPr>
        <w:keepNext w:val="0"/>
        <w:keepLines w:val="0"/>
        <w:pageBreakBefore w:val="0"/>
        <w:kinsoku/>
        <w:wordWrap/>
        <w:overflowPunct/>
        <w:topLinePunct w:val="0"/>
        <w:bidi w:val="0"/>
        <w:snapToGrid w:val="0"/>
        <w:spacing w:line="336"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1.废水</w:t>
      </w:r>
    </w:p>
    <w:p w14:paraId="331E622B">
      <w:pPr>
        <w:keepNext w:val="0"/>
        <w:keepLines w:val="0"/>
        <w:pageBreakBefore w:val="0"/>
        <w:kinsoku/>
        <w:wordWrap/>
        <w:overflowPunct/>
        <w:topLinePunct w:val="0"/>
        <w:bidi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验收监测期间，综合废水处理设施出口（DW001-2）的废水pH范围为7.5-7.6，其他污染物最大浓度分别为：悬浮物45mg/L、五日生化需氧量89.6mg/L、化学需氧量236mg/L、石油类0.64mg/L、动植物油类1.10mg/L、氨氮0.164mg/L、总磷0.19mg/L、阴离子表面活性剂0.77mg/L、可吸附有机卤素（AOX）0.087mg/L、总氮1.00mg/L；其中pH、悬浮物、五日生化需氧量、化学需氧量、动植物油类、石油类、阴离子表面活性剂符合《污水综合排放标准》（GB 8978-1996）表4 三级标准；氨氮、总磷符合《工业企业废水氮、磷污染物间接排放限值》（DB33/ 887-2013）表1中其他企业的排放限值；可吸附有机卤素（AOX）符合《合成树脂工业污染物排放标准》（GB31572-2015）中表1间接排放限值。</w:t>
      </w:r>
    </w:p>
    <w:p w14:paraId="566F3A29">
      <w:pPr>
        <w:keepNext w:val="0"/>
        <w:keepLines w:val="0"/>
        <w:pageBreakBefore w:val="0"/>
        <w:kinsoku/>
        <w:wordWrap/>
        <w:overflowPunct/>
        <w:topLinePunct w:val="0"/>
        <w:bidi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sz w:val="24"/>
          <w:szCs w:val="24"/>
        </w:rPr>
        <w:t>验收监测期间，雨水排放口（DW002-2）的废水pH范围为6.9-7.0，其他污染物最大浓度分别为：悬浮物11mg/L、化学需氧量15mg/L、氨氮0.094mg/L、石油类＜0.01mg/L；其中化学需氧量、氨氮符合《衢州市水生态环境保护暨水长效战2022年度工作计划》（美丽衢州办〔2022〕8号）相关水质要求</w:t>
      </w:r>
      <w:r>
        <w:rPr>
          <w:rFonts w:ascii="Times New Roman" w:hAnsi="Times New Roman" w:eastAsia="宋体" w:cs="Times New Roman"/>
          <w:kern w:val="0"/>
          <w:sz w:val="24"/>
          <w:szCs w:val="24"/>
        </w:rPr>
        <w:t>。</w:t>
      </w:r>
    </w:p>
    <w:p w14:paraId="728BB02A">
      <w:pPr>
        <w:keepNext w:val="0"/>
        <w:keepLines w:val="0"/>
        <w:pageBreakBefore w:val="0"/>
        <w:kinsoku/>
        <w:wordWrap/>
        <w:overflowPunct/>
        <w:topLinePunct w:val="0"/>
        <w:autoSpaceDE/>
        <w:autoSpaceDN/>
        <w:bidi w:val="0"/>
        <w:snapToGrid w:val="0"/>
        <w:spacing w:line="324"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2.废气</w:t>
      </w:r>
      <w:r>
        <w:rPr>
          <w:rFonts w:ascii="Times New Roman" w:hAnsi="Times New Roman" w:eastAsia="宋体" w:cs="Times New Roman"/>
          <w:kern w:val="0"/>
          <w:sz w:val="24"/>
          <w:szCs w:val="24"/>
        </w:rPr>
        <w:tab/>
      </w:r>
    </w:p>
    <w:p w14:paraId="3CE09A90">
      <w:pPr>
        <w:keepNext w:val="0"/>
        <w:keepLines w:val="0"/>
        <w:pageBreakBefore w:val="0"/>
        <w:kinsoku/>
        <w:wordWrap/>
        <w:overflowPunct/>
        <w:topLinePunct w:val="0"/>
        <w:autoSpaceDE/>
        <w:autoSpaceDN/>
        <w:bidi w:val="0"/>
        <w:snapToGrid w:val="0"/>
        <w:spacing w:line="324"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（1）有组织废气</w:t>
      </w:r>
    </w:p>
    <w:p w14:paraId="39B93013">
      <w:pPr>
        <w:keepNext w:val="0"/>
        <w:keepLines w:val="0"/>
        <w:pageBreakBefore w:val="0"/>
        <w:kinsoku/>
        <w:wordWrap/>
        <w:overflowPunct/>
        <w:topLinePunct w:val="0"/>
        <w:autoSpaceDE/>
        <w:autoSpaceDN/>
        <w:bidi w:val="0"/>
        <w:spacing w:line="324"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验收监测期间，BBQ废气处理设施排气筒出口（DA002-2）中颗粒物的排放浓度最大值为1.2mg/m</w:t>
      </w:r>
      <w:r>
        <w:rPr>
          <w:rFonts w:ascii="Times New Roman" w:hAnsi="Times New Roman" w:eastAsia="宋体" w:cs="Times New Roman"/>
          <w:sz w:val="24"/>
          <w:szCs w:val="24"/>
          <w:vertAlign w:val="superscript"/>
        </w:rPr>
        <w:t>3</w:t>
      </w:r>
      <w:r>
        <w:rPr>
          <w:rFonts w:ascii="Times New Roman" w:hAnsi="Times New Roman" w:eastAsia="宋体" w:cs="Times New Roman"/>
          <w:sz w:val="24"/>
          <w:szCs w:val="24"/>
        </w:rPr>
        <w:t>，排放速率最大值为4.68×10</w:t>
      </w:r>
      <w:r>
        <w:rPr>
          <w:rFonts w:ascii="Times New Roman" w:hAnsi="Times New Roman" w:eastAsia="宋体" w:cs="Times New Roman"/>
          <w:sz w:val="24"/>
          <w:szCs w:val="24"/>
          <w:vertAlign w:val="superscript"/>
        </w:rPr>
        <w:t>-3</w:t>
      </w:r>
      <w:r>
        <w:rPr>
          <w:rFonts w:ascii="Times New Roman" w:hAnsi="Times New Roman" w:eastAsia="宋体" w:cs="Times New Roman"/>
          <w:sz w:val="24"/>
          <w:szCs w:val="24"/>
        </w:rPr>
        <w:t>kg/h，氨的排放浓度最大值为0.53mg/m</w:t>
      </w:r>
      <w:r>
        <w:rPr>
          <w:rFonts w:ascii="Times New Roman" w:hAnsi="Times New Roman" w:eastAsia="宋体" w:cs="Times New Roman"/>
          <w:sz w:val="24"/>
          <w:szCs w:val="24"/>
          <w:vertAlign w:val="superscript"/>
        </w:rPr>
        <w:t>3</w:t>
      </w:r>
      <w:r>
        <w:rPr>
          <w:rFonts w:ascii="Times New Roman" w:hAnsi="Times New Roman" w:eastAsia="宋体" w:cs="Times New Roman"/>
          <w:sz w:val="24"/>
          <w:szCs w:val="24"/>
        </w:rPr>
        <w:t>，排放速率最大值为2.05×10</w:t>
      </w:r>
      <w:r>
        <w:rPr>
          <w:rFonts w:ascii="Times New Roman" w:hAnsi="Times New Roman" w:eastAsia="宋体" w:cs="Times New Roman"/>
          <w:sz w:val="24"/>
          <w:szCs w:val="24"/>
          <w:vertAlign w:val="superscript"/>
        </w:rPr>
        <w:t>-3</w:t>
      </w:r>
      <w:r>
        <w:rPr>
          <w:rFonts w:ascii="Times New Roman" w:hAnsi="Times New Roman" w:eastAsia="宋体" w:cs="Times New Roman"/>
          <w:sz w:val="24"/>
          <w:szCs w:val="24"/>
        </w:rPr>
        <w:t>kg/h，非甲烷总烃的排放浓度最大值为24.8mg/m</w:t>
      </w:r>
      <w:r>
        <w:rPr>
          <w:rFonts w:ascii="Times New Roman" w:hAnsi="Times New Roman" w:eastAsia="宋体" w:cs="Times New Roman"/>
          <w:sz w:val="24"/>
          <w:szCs w:val="24"/>
          <w:vertAlign w:val="superscript"/>
        </w:rPr>
        <w:t>3</w:t>
      </w:r>
      <w:r>
        <w:rPr>
          <w:rFonts w:ascii="Times New Roman" w:hAnsi="Times New Roman" w:eastAsia="宋体" w:cs="Times New Roman"/>
          <w:sz w:val="24"/>
          <w:szCs w:val="24"/>
        </w:rPr>
        <w:t>，排放速率最大值为9.51×10</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kg/h，甲醇的排放浓度最大值为18.6mg/m</w:t>
      </w:r>
      <w:r>
        <w:rPr>
          <w:rFonts w:ascii="Times New Roman" w:hAnsi="Times New Roman" w:eastAsia="宋体" w:cs="Times New Roman"/>
          <w:sz w:val="24"/>
          <w:szCs w:val="24"/>
          <w:vertAlign w:val="superscript"/>
        </w:rPr>
        <w:t>3</w:t>
      </w:r>
      <w:r>
        <w:rPr>
          <w:rFonts w:ascii="Times New Roman" w:hAnsi="Times New Roman" w:eastAsia="宋体" w:cs="Times New Roman"/>
          <w:sz w:val="24"/>
          <w:szCs w:val="24"/>
        </w:rPr>
        <w:t>，排放速率最大值为7.18×10</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kg/h，臭气浓度的排放浓度最大值为478（无量纲）；甲醇检测结果符合《石油化学工业污染物排放标准》（GB 31571-2015）表6排放限值；低浓度颗粒物、氨、非甲烷总烃检测结果符合《合成树脂工业污染物排放标准》（GB 31572-2015&lt;含2024年修改单&gt;）表5中限值要求；臭气浓度检测结果符合《恶臭污染物排放标准》（GB 14554-1993）表2中限值要求。</w:t>
      </w:r>
    </w:p>
    <w:p w14:paraId="48785F04">
      <w:pPr>
        <w:keepNext w:val="0"/>
        <w:keepLines w:val="0"/>
        <w:pageBreakBefore w:val="0"/>
        <w:kinsoku/>
        <w:wordWrap/>
        <w:overflowPunct/>
        <w:topLinePunct w:val="0"/>
        <w:autoSpaceDE/>
        <w:autoSpaceDN/>
        <w:bidi w:val="0"/>
        <w:snapToGrid w:val="0"/>
        <w:spacing w:line="324"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sz w:val="24"/>
          <w:szCs w:val="24"/>
        </w:rPr>
        <w:t>验收监测期间，污水处理设施排气筒出口（DA003-2）中非甲烷总烃的排放浓度最大值为5.00mg/m</w:t>
      </w:r>
      <w:r>
        <w:rPr>
          <w:rFonts w:ascii="Times New Roman" w:hAnsi="Times New Roman" w:eastAsia="宋体" w:cs="Times New Roman"/>
          <w:sz w:val="24"/>
          <w:szCs w:val="24"/>
          <w:vertAlign w:val="superscript"/>
        </w:rPr>
        <w:t>3</w:t>
      </w:r>
      <w:r>
        <w:rPr>
          <w:rFonts w:ascii="Times New Roman" w:hAnsi="Times New Roman" w:eastAsia="宋体" w:cs="Times New Roman"/>
          <w:sz w:val="24"/>
          <w:szCs w:val="24"/>
        </w:rPr>
        <w:t>，排放速率最大值为7.44×10</w:t>
      </w:r>
      <w:r>
        <w:rPr>
          <w:rFonts w:ascii="Times New Roman" w:hAnsi="Times New Roman" w:eastAsia="宋体" w:cs="Times New Roman"/>
          <w:sz w:val="24"/>
          <w:szCs w:val="24"/>
          <w:vertAlign w:val="superscript"/>
        </w:rPr>
        <w:t>-3</w:t>
      </w:r>
      <w:r>
        <w:rPr>
          <w:rFonts w:ascii="Times New Roman" w:hAnsi="Times New Roman" w:eastAsia="宋体" w:cs="Times New Roman"/>
          <w:sz w:val="24"/>
          <w:szCs w:val="24"/>
        </w:rPr>
        <w:t>kg/h，检测结果符合《大气污染物综合排放标准》（GB16297-1996）表2 二级限值要求；硫化氢为未检出，最低检出浓度为0.007mg/m</w:t>
      </w:r>
      <w:r>
        <w:rPr>
          <w:rFonts w:ascii="Times New Roman" w:hAnsi="Times New Roman" w:eastAsia="宋体" w:cs="Times New Roman"/>
          <w:sz w:val="24"/>
          <w:szCs w:val="24"/>
          <w:vertAlign w:val="superscript"/>
        </w:rPr>
        <w:t>3</w:t>
      </w:r>
      <w:r>
        <w:rPr>
          <w:rFonts w:ascii="Times New Roman" w:hAnsi="Times New Roman" w:eastAsia="宋体" w:cs="Times New Roman"/>
          <w:sz w:val="24"/>
          <w:szCs w:val="24"/>
        </w:rPr>
        <w:t>，氨的排放浓度最大值为1.31mg/m</w:t>
      </w:r>
      <w:r>
        <w:rPr>
          <w:rFonts w:ascii="Times New Roman" w:hAnsi="Times New Roman" w:eastAsia="宋体" w:cs="Times New Roman"/>
          <w:sz w:val="24"/>
          <w:szCs w:val="24"/>
          <w:vertAlign w:val="superscript"/>
        </w:rPr>
        <w:t>3</w:t>
      </w:r>
      <w:r>
        <w:rPr>
          <w:rFonts w:ascii="Times New Roman" w:hAnsi="Times New Roman" w:eastAsia="宋体" w:cs="Times New Roman"/>
          <w:sz w:val="24"/>
          <w:szCs w:val="24"/>
        </w:rPr>
        <w:t>，排放速率最大值为1.88×10</w:t>
      </w:r>
      <w:r>
        <w:rPr>
          <w:rFonts w:ascii="Times New Roman" w:hAnsi="Times New Roman" w:eastAsia="宋体" w:cs="Times New Roman"/>
          <w:sz w:val="24"/>
          <w:szCs w:val="24"/>
          <w:vertAlign w:val="superscript"/>
        </w:rPr>
        <w:t>-3</w:t>
      </w:r>
      <w:r>
        <w:rPr>
          <w:rFonts w:ascii="Times New Roman" w:hAnsi="Times New Roman" w:eastAsia="宋体" w:cs="Times New Roman"/>
          <w:sz w:val="24"/>
          <w:szCs w:val="24"/>
        </w:rPr>
        <w:t>kg/h，臭气浓度的排放浓度最大值为354（无量纲），硫化氢、氨、臭气浓度检测结果符合《恶臭污染物排放标准》（GB 14554-1993）表2的限值要求</w:t>
      </w:r>
      <w:r>
        <w:rPr>
          <w:rFonts w:ascii="Times New Roman" w:hAnsi="Times New Roman" w:eastAsia="宋体" w:cs="Times New Roman"/>
          <w:kern w:val="0"/>
          <w:sz w:val="24"/>
          <w:szCs w:val="24"/>
        </w:rPr>
        <w:t>。</w:t>
      </w:r>
    </w:p>
    <w:p w14:paraId="23CE52E9">
      <w:pPr>
        <w:keepNext w:val="0"/>
        <w:keepLines w:val="0"/>
        <w:pageBreakBefore w:val="0"/>
        <w:kinsoku/>
        <w:wordWrap/>
        <w:overflowPunct/>
        <w:topLinePunct w:val="0"/>
        <w:autoSpaceDE/>
        <w:autoSpaceDN/>
        <w:bidi w:val="0"/>
        <w:snapToGrid w:val="0"/>
        <w:spacing w:line="324"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（2）无组织废气</w:t>
      </w:r>
    </w:p>
    <w:p w14:paraId="17C753AA">
      <w:pPr>
        <w:keepNext w:val="0"/>
        <w:keepLines w:val="0"/>
        <w:pageBreakBefore w:val="0"/>
        <w:widowControl/>
        <w:kinsoku/>
        <w:wordWrap/>
        <w:overflowPunct/>
        <w:topLinePunct w:val="0"/>
        <w:autoSpaceDE/>
        <w:autoSpaceDN/>
        <w:bidi w:val="0"/>
        <w:adjustRightInd w:val="0"/>
        <w:snapToGrid w:val="0"/>
        <w:spacing w:line="324" w:lineRule="auto"/>
        <w:ind w:firstLine="480" w:firstLineChars="200"/>
        <w:jc w:val="left"/>
        <w:textAlignment w:val="auto"/>
        <w:rPr>
          <w:rFonts w:ascii="Times New Roman" w:hAnsi="Times New Roman" w:eastAsia="宋体" w:cs="Times New Roman"/>
          <w:bCs/>
          <w:kern w:val="0"/>
          <w:sz w:val="24"/>
          <w:szCs w:val="21"/>
        </w:rPr>
      </w:pPr>
      <w:r>
        <w:rPr>
          <w:rFonts w:ascii="Times New Roman" w:hAnsi="Times New Roman" w:eastAsia="宋体" w:cs="Times New Roman"/>
          <w:kern w:val="22"/>
          <w:sz w:val="24"/>
          <w:szCs w:val="24"/>
        </w:rPr>
        <w:t>验收监测期间，厂界颗粒物的最大小时浓度值为0.295mg/m</w:t>
      </w:r>
      <w:r>
        <w:rPr>
          <w:rFonts w:ascii="Times New Roman" w:hAnsi="Times New Roman" w:eastAsia="宋体" w:cs="Times New Roman"/>
          <w:kern w:val="22"/>
          <w:sz w:val="24"/>
          <w:szCs w:val="24"/>
          <w:vertAlign w:val="superscript"/>
        </w:rPr>
        <w:t>3</w:t>
      </w:r>
      <w:r>
        <w:rPr>
          <w:rFonts w:ascii="Times New Roman" w:hAnsi="Times New Roman" w:eastAsia="宋体" w:cs="Times New Roman"/>
          <w:kern w:val="22"/>
          <w:sz w:val="24"/>
          <w:szCs w:val="24"/>
        </w:rPr>
        <w:t>，非甲烷总烃的最大小时浓度值为1.99mg/m</w:t>
      </w:r>
      <w:r>
        <w:rPr>
          <w:rFonts w:ascii="Times New Roman" w:hAnsi="Times New Roman" w:eastAsia="宋体" w:cs="Times New Roman"/>
          <w:kern w:val="22"/>
          <w:sz w:val="24"/>
          <w:szCs w:val="24"/>
          <w:vertAlign w:val="superscript"/>
        </w:rPr>
        <w:t>3</w:t>
      </w:r>
      <w:r>
        <w:rPr>
          <w:rFonts w:ascii="Times New Roman" w:hAnsi="Times New Roman" w:eastAsia="宋体" w:cs="Times New Roman"/>
          <w:kern w:val="22"/>
          <w:sz w:val="24"/>
          <w:szCs w:val="24"/>
        </w:rPr>
        <w:t>，氨、硫化氢、氯化氢、甲醇均为未检出，最低检出浓度分别为0.01mg/m</w:t>
      </w:r>
      <w:r>
        <w:rPr>
          <w:rFonts w:ascii="Times New Roman" w:hAnsi="Times New Roman" w:eastAsia="宋体" w:cs="Times New Roman"/>
          <w:kern w:val="22"/>
          <w:sz w:val="24"/>
          <w:szCs w:val="24"/>
          <w:vertAlign w:val="superscript"/>
        </w:rPr>
        <w:t>3</w:t>
      </w:r>
      <w:r>
        <w:rPr>
          <w:rFonts w:ascii="Times New Roman" w:hAnsi="Times New Roman" w:eastAsia="宋体" w:cs="Times New Roman"/>
          <w:kern w:val="22"/>
          <w:sz w:val="24"/>
          <w:szCs w:val="24"/>
        </w:rPr>
        <w:t>、0.001mg/m</w:t>
      </w:r>
      <w:r>
        <w:rPr>
          <w:rFonts w:ascii="Times New Roman" w:hAnsi="Times New Roman" w:eastAsia="宋体" w:cs="Times New Roman"/>
          <w:kern w:val="22"/>
          <w:sz w:val="24"/>
          <w:szCs w:val="24"/>
          <w:vertAlign w:val="superscript"/>
        </w:rPr>
        <w:t>3</w:t>
      </w:r>
      <w:r>
        <w:rPr>
          <w:rFonts w:ascii="Times New Roman" w:hAnsi="Times New Roman" w:eastAsia="宋体" w:cs="Times New Roman"/>
          <w:kern w:val="22"/>
          <w:sz w:val="24"/>
          <w:szCs w:val="24"/>
        </w:rPr>
        <w:t>、0.02mg/m</w:t>
      </w:r>
      <w:r>
        <w:rPr>
          <w:rFonts w:ascii="Times New Roman" w:hAnsi="Times New Roman" w:eastAsia="宋体" w:cs="Times New Roman"/>
          <w:kern w:val="22"/>
          <w:sz w:val="24"/>
          <w:szCs w:val="24"/>
          <w:vertAlign w:val="superscript"/>
        </w:rPr>
        <w:t>3</w:t>
      </w:r>
      <w:r>
        <w:rPr>
          <w:rFonts w:ascii="Times New Roman" w:hAnsi="Times New Roman" w:eastAsia="宋体" w:cs="Times New Roman"/>
          <w:kern w:val="22"/>
          <w:sz w:val="24"/>
          <w:szCs w:val="24"/>
        </w:rPr>
        <w:t>、2mg/m</w:t>
      </w:r>
      <w:r>
        <w:rPr>
          <w:rFonts w:ascii="Times New Roman" w:hAnsi="Times New Roman" w:eastAsia="宋体" w:cs="Times New Roman"/>
          <w:kern w:val="22"/>
          <w:sz w:val="24"/>
          <w:szCs w:val="24"/>
          <w:vertAlign w:val="superscript"/>
        </w:rPr>
        <w:t>3</w:t>
      </w:r>
      <w:r>
        <w:rPr>
          <w:rFonts w:ascii="Times New Roman" w:hAnsi="Times New Roman" w:eastAsia="宋体" w:cs="Times New Roman"/>
          <w:kern w:val="22"/>
          <w:sz w:val="24"/>
          <w:szCs w:val="24"/>
        </w:rPr>
        <w:t>，氯化氢、甲醇</w:t>
      </w:r>
      <w:r>
        <w:rPr>
          <w:rFonts w:ascii="Times New Roman" w:hAnsi="Times New Roman" w:eastAsia="宋体" w:cs="Times New Roman"/>
          <w:bCs/>
          <w:kern w:val="0"/>
          <w:sz w:val="24"/>
          <w:szCs w:val="24"/>
        </w:rPr>
        <w:t>检测结果均符合《大气污染物综合排放标准》（GB 16297-1996）表2限值要求；颗粒物、非甲烷总烃检测结果均符合《合成树脂工业污染物排放标准》（GB 31572-2015）（含2024年修改单）表7限值要求；氨、硫化氢检测结果符合《恶臭污染物排放标准》（GB 14554-1993）表1二级新扩改建限值要求</w:t>
      </w:r>
      <w:r>
        <w:rPr>
          <w:rFonts w:ascii="Times New Roman" w:hAnsi="Times New Roman" w:eastAsia="宋体" w:cs="Times New Roman"/>
          <w:bCs/>
          <w:kern w:val="0"/>
          <w:sz w:val="24"/>
          <w:szCs w:val="21"/>
        </w:rPr>
        <w:t>。厂界臭气浓度均为未检出，最低检出浓度为10（无量纲），检测结果符合《恶臭污染物排放标准》（GB 14554-1993）表1 二级 新扩改建要求。</w:t>
      </w:r>
    </w:p>
    <w:p w14:paraId="32662A9E">
      <w:pPr>
        <w:keepNext w:val="0"/>
        <w:keepLines w:val="0"/>
        <w:pageBreakBefore w:val="0"/>
        <w:widowControl w:val="0"/>
        <w:kinsoku/>
        <w:wordWrap/>
        <w:overflowPunct/>
        <w:topLinePunct w:val="0"/>
        <w:autoSpaceDE/>
        <w:autoSpaceDN/>
        <w:bidi w:val="0"/>
        <w:adjustRightInd/>
        <w:snapToGrid w:val="0"/>
        <w:spacing w:line="324"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kern w:val="22"/>
          <w:sz w:val="24"/>
          <w:szCs w:val="24"/>
        </w:rPr>
        <w:t>验收监测期间，厂界内生产车间外非甲烷总烃的最大小时均值为3.56mg/m</w:t>
      </w:r>
      <w:r>
        <w:rPr>
          <w:rFonts w:ascii="Times New Roman" w:hAnsi="Times New Roman" w:eastAsia="宋体" w:cs="Times New Roman"/>
          <w:kern w:val="22"/>
          <w:sz w:val="24"/>
          <w:szCs w:val="24"/>
          <w:vertAlign w:val="superscript"/>
        </w:rPr>
        <w:t>3</w:t>
      </w:r>
      <w:r>
        <w:rPr>
          <w:rFonts w:ascii="Times New Roman" w:hAnsi="Times New Roman" w:eastAsia="宋体" w:cs="Times New Roman"/>
          <w:kern w:val="22"/>
          <w:sz w:val="24"/>
          <w:szCs w:val="24"/>
        </w:rPr>
        <w:t>，最大一次值为4.04mg/m</w:t>
      </w:r>
      <w:r>
        <w:rPr>
          <w:rFonts w:ascii="Times New Roman" w:hAnsi="Times New Roman" w:eastAsia="宋体" w:cs="Times New Roman"/>
          <w:kern w:val="22"/>
          <w:sz w:val="24"/>
          <w:szCs w:val="24"/>
          <w:vertAlign w:val="superscript"/>
        </w:rPr>
        <w:t>3</w:t>
      </w:r>
      <w:r>
        <w:rPr>
          <w:rFonts w:ascii="Times New Roman" w:hAnsi="Times New Roman" w:eastAsia="宋体" w:cs="Times New Roman"/>
          <w:kern w:val="22"/>
          <w:sz w:val="24"/>
          <w:szCs w:val="24"/>
        </w:rPr>
        <w:t>，结果均符合《挥发性有机物无组织排放控制标准》（GB 37822-2019）表A.1特别排放限值</w:t>
      </w:r>
      <w:r>
        <w:rPr>
          <w:rFonts w:ascii="Times New Roman" w:hAnsi="Times New Roman" w:eastAsia="宋体" w:cs="Times New Roman"/>
          <w:kern w:val="0"/>
          <w:sz w:val="24"/>
          <w:szCs w:val="24"/>
        </w:rPr>
        <w:t>。</w:t>
      </w:r>
    </w:p>
    <w:p w14:paraId="29542C3A">
      <w:pPr>
        <w:keepNext w:val="0"/>
        <w:keepLines w:val="0"/>
        <w:pageBreakBefore w:val="0"/>
        <w:widowControl w:val="0"/>
        <w:kinsoku/>
        <w:wordWrap/>
        <w:overflowPunct/>
        <w:topLinePunct w:val="0"/>
        <w:autoSpaceDE/>
        <w:autoSpaceDN/>
        <w:bidi w:val="0"/>
        <w:adjustRightInd/>
        <w:snapToGrid w:val="0"/>
        <w:spacing w:line="324"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3.噪声</w:t>
      </w:r>
    </w:p>
    <w:p w14:paraId="7625F087">
      <w:pPr>
        <w:keepNext w:val="0"/>
        <w:keepLines w:val="0"/>
        <w:pageBreakBefore w:val="0"/>
        <w:widowControl w:val="0"/>
        <w:kinsoku/>
        <w:wordWrap/>
        <w:overflowPunct/>
        <w:topLinePunct w:val="0"/>
        <w:autoSpaceDE/>
        <w:autoSpaceDN/>
        <w:bidi w:val="0"/>
        <w:adjustRightInd/>
        <w:snapToGrid w:val="0"/>
        <w:spacing w:line="324"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kern w:val="22"/>
          <w:sz w:val="24"/>
          <w:szCs w:val="24"/>
        </w:rPr>
        <w:t>验收监测期间，</w:t>
      </w:r>
      <w:r>
        <w:rPr>
          <w:rFonts w:ascii="Times New Roman" w:hAnsi="Times New Roman" w:eastAsia="宋体" w:cs="Times New Roman"/>
          <w:sz w:val="24"/>
        </w:rPr>
        <w:t>厂界东外、南外、西外昼间噪声Leq最大值分别为63dB(A)、60dB(A)、58dB(A)，夜间噪声Leq最大值分别为50dB(A)、50dB(A)、54dB(A)，结果均</w:t>
      </w:r>
      <w:r>
        <w:rPr>
          <w:rFonts w:ascii="Times New Roman" w:hAnsi="Times New Roman" w:eastAsia="宋体" w:cs="Times New Roman"/>
          <w:color w:val="000000"/>
          <w:sz w:val="24"/>
        </w:rPr>
        <w:t>符合《工业企业厂界噪声排放标准》（GB 12348-2008）表1中的3类要求</w:t>
      </w:r>
      <w:r>
        <w:rPr>
          <w:rFonts w:ascii="Times New Roman" w:hAnsi="Times New Roman" w:eastAsia="宋体" w:cs="Times New Roman"/>
          <w:kern w:val="0"/>
          <w:sz w:val="24"/>
          <w:szCs w:val="24"/>
        </w:rPr>
        <w:t>。</w:t>
      </w:r>
    </w:p>
    <w:p w14:paraId="433B8C8B">
      <w:pPr>
        <w:keepNext w:val="0"/>
        <w:keepLines w:val="0"/>
        <w:pageBreakBefore w:val="0"/>
        <w:widowControl w:val="0"/>
        <w:kinsoku/>
        <w:wordWrap/>
        <w:overflowPunct/>
        <w:topLinePunct w:val="0"/>
        <w:autoSpaceDE/>
        <w:autoSpaceDN/>
        <w:bidi w:val="0"/>
        <w:adjustRightInd/>
        <w:snapToGrid w:val="0"/>
        <w:spacing w:line="324"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4. 污染物排放总量</w:t>
      </w:r>
    </w:p>
    <w:p w14:paraId="7FADFEBB">
      <w:pPr>
        <w:keepNext w:val="0"/>
        <w:keepLines w:val="0"/>
        <w:pageBreakBefore w:val="0"/>
        <w:widowControl w:val="0"/>
        <w:kinsoku/>
        <w:wordWrap/>
        <w:overflowPunct/>
        <w:topLinePunct w:val="0"/>
        <w:autoSpaceDE/>
        <w:autoSpaceDN/>
        <w:bidi w:val="0"/>
        <w:adjustRightInd/>
        <w:snapToGrid w:val="0"/>
        <w:spacing w:line="324"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根据验收监测报告统计，</w:t>
      </w:r>
      <w:r>
        <w:rPr>
          <w:rFonts w:ascii="Times New Roman" w:hAnsi="Times New Roman" w:eastAsia="宋体" w:cs="Times New Roman"/>
          <w:color w:val="000000"/>
          <w:sz w:val="24"/>
          <w:szCs w:val="24"/>
        </w:rPr>
        <w:t>本项目污染物排放量COD</w:t>
      </w:r>
      <w:r>
        <w:rPr>
          <w:rFonts w:ascii="Times New Roman" w:hAnsi="Times New Roman" w:eastAsia="宋体" w:cs="Times New Roman"/>
          <w:color w:val="000000"/>
          <w:sz w:val="24"/>
          <w:szCs w:val="24"/>
          <w:vertAlign w:val="subscript"/>
        </w:rPr>
        <w:t>Cr</w:t>
      </w:r>
      <w:r>
        <w:rPr>
          <w:rFonts w:ascii="Times New Roman" w:hAnsi="Times New Roman" w:eastAsia="宋体" w:cs="Times New Roman"/>
          <w:color w:val="000000"/>
          <w:sz w:val="24"/>
          <w:szCs w:val="24"/>
        </w:rPr>
        <w:t>7.62吨/年、NH</w:t>
      </w:r>
      <w:r>
        <w:rPr>
          <w:rFonts w:ascii="Times New Roman" w:hAnsi="Times New Roman" w:eastAsia="宋体" w:cs="Times New Roman"/>
          <w:color w:val="000000"/>
          <w:sz w:val="24"/>
          <w:szCs w:val="24"/>
          <w:vertAlign w:val="subscript"/>
        </w:rPr>
        <w:t>3</w:t>
      </w:r>
      <w:r>
        <w:rPr>
          <w:rFonts w:ascii="Times New Roman" w:hAnsi="Times New Roman" w:eastAsia="宋体" w:cs="Times New Roman"/>
          <w:color w:val="000000"/>
          <w:sz w:val="24"/>
          <w:szCs w:val="24"/>
        </w:rPr>
        <w:t>-N0.762吨/年、VOC</w:t>
      </w:r>
      <w:r>
        <w:rPr>
          <w:rFonts w:ascii="Times New Roman" w:hAnsi="Times New Roman" w:eastAsia="宋体" w:cs="Times New Roman"/>
          <w:color w:val="000000"/>
          <w:sz w:val="24"/>
          <w:szCs w:val="24"/>
          <w:vertAlign w:val="subscript"/>
        </w:rPr>
        <w:t>S</w:t>
      </w:r>
      <w:r>
        <w:rPr>
          <w:rFonts w:ascii="Times New Roman" w:hAnsi="Times New Roman" w:eastAsia="宋体" w:cs="Times New Roman"/>
          <w:color w:val="000000"/>
          <w:sz w:val="24"/>
          <w:szCs w:val="24"/>
        </w:rPr>
        <w:t>0.744吨/年、颗粒物0.033吨/年，符合环评批复文件中主要污染物排放控制要求</w:t>
      </w:r>
      <w:r>
        <w:rPr>
          <w:rFonts w:ascii="Times New Roman" w:hAnsi="Times New Roman" w:eastAsia="宋体" w:cs="Times New Roman"/>
          <w:kern w:val="0"/>
          <w:sz w:val="24"/>
          <w:szCs w:val="24"/>
        </w:rPr>
        <w:t>。</w:t>
      </w:r>
    </w:p>
    <w:p w14:paraId="2FB033B0">
      <w:pPr>
        <w:keepNext w:val="0"/>
        <w:keepLines w:val="0"/>
        <w:pageBreakBefore w:val="0"/>
        <w:kinsoku/>
        <w:wordWrap/>
        <w:overflowPunct/>
        <w:topLinePunct w:val="0"/>
        <w:bidi w:val="0"/>
        <w:snapToGrid w:val="0"/>
        <w:spacing w:line="336" w:lineRule="auto"/>
        <w:ind w:firstLine="482" w:firstLineChars="200"/>
        <w:jc w:val="left"/>
        <w:textAlignment w:val="auto"/>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五、工程建设对环境的影响</w:t>
      </w:r>
      <w:bookmarkStart w:id="7" w:name="_GoBack"/>
      <w:bookmarkEnd w:id="7"/>
    </w:p>
    <w:p w14:paraId="49E8E563">
      <w:pPr>
        <w:keepNext w:val="0"/>
        <w:keepLines w:val="0"/>
        <w:pageBreakBefore w:val="0"/>
        <w:kinsoku/>
        <w:wordWrap/>
        <w:overflowPunct/>
        <w:topLinePunct w:val="0"/>
        <w:bidi w:val="0"/>
        <w:snapToGrid w:val="0"/>
        <w:spacing w:line="336" w:lineRule="auto"/>
        <w:ind w:firstLine="480" w:firstLineChars="200"/>
        <w:jc w:val="left"/>
        <w:textAlignment w:val="auto"/>
        <w:rPr>
          <w:rFonts w:ascii="Times New Roman" w:hAnsi="Times New Roman" w:eastAsia="宋体" w:cs="Times New Roman"/>
          <w:kern w:val="0"/>
          <w:sz w:val="24"/>
          <w:szCs w:val="24"/>
        </w:rPr>
      </w:pPr>
      <w:r>
        <w:rPr>
          <w:rFonts w:ascii="Times New Roman" w:hAnsi="Times New Roman" w:cs="Times New Roman"/>
          <w:sz w:val="24"/>
        </w:rPr>
        <w:t>根据验收监测报告结论，项目废水、废气经相应处理后污染物排放符合相关标准限值要求，厂界噪声达标，固废、危废做到资源化和无害化处理，工程建设对周边环境的影响在环评预测范围之内</w:t>
      </w:r>
      <w:r>
        <w:rPr>
          <w:rFonts w:ascii="Times New Roman" w:hAnsi="Times New Roman" w:eastAsia="宋体" w:cs="Times New Roman"/>
          <w:kern w:val="0"/>
          <w:sz w:val="24"/>
          <w:szCs w:val="24"/>
        </w:rPr>
        <w:t>。</w:t>
      </w:r>
    </w:p>
    <w:p w14:paraId="7FD5778C">
      <w:pPr>
        <w:keepNext w:val="0"/>
        <w:keepLines w:val="0"/>
        <w:pageBreakBefore w:val="0"/>
        <w:kinsoku/>
        <w:wordWrap/>
        <w:overflowPunct/>
        <w:topLinePunct w:val="0"/>
        <w:bidi w:val="0"/>
        <w:snapToGrid w:val="0"/>
        <w:spacing w:line="336" w:lineRule="auto"/>
        <w:ind w:firstLine="482" w:firstLineChars="200"/>
        <w:jc w:val="left"/>
        <w:textAlignment w:val="auto"/>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六、验收结论及后续要求</w:t>
      </w:r>
    </w:p>
    <w:p w14:paraId="3148A187">
      <w:pPr>
        <w:keepNext w:val="0"/>
        <w:keepLines w:val="0"/>
        <w:pageBreakBefore w:val="0"/>
        <w:kinsoku/>
        <w:wordWrap/>
        <w:overflowPunct/>
        <w:topLinePunct w:val="0"/>
        <w:bidi w:val="0"/>
        <w:snapToGrid w:val="0"/>
        <w:spacing w:line="336" w:lineRule="auto"/>
        <w:ind w:firstLine="480" w:firstLineChars="200"/>
        <w:jc w:val="left"/>
        <w:textAlignment w:val="auto"/>
        <w:rPr>
          <w:rFonts w:ascii="Times New Roman" w:hAnsi="Times New Roman" w:cs="Times New Roman"/>
          <w:sz w:val="24"/>
        </w:rPr>
      </w:pPr>
      <w:r>
        <w:rPr>
          <w:rFonts w:ascii="Times New Roman" w:hAnsi="Times New Roman" w:cs="Times New Roman"/>
          <w:sz w:val="24"/>
        </w:rPr>
        <w:t>根据项目验收监测报告及现场检查，本项目按照国家有关环境保护的法律法规进行了环境影响评价，履行了建设项目环境影响评价手续。项目按环评及审批文件要求同步建成配套治理措施；验收监测结果表明项目各污染物排放指标均符合相应标准，污染物排放总量控制在环评及批复要求的范围内，基本落实了“三同时”有关要求，没有《建设项目竣工环境保护验收暂行办法》（国环规环评（2017)4号）中所规定的验收不合格项，同意本项目通过竣工环境保护先行验收。</w:t>
      </w:r>
    </w:p>
    <w:p w14:paraId="4F2F2C7F">
      <w:pPr>
        <w:keepNext w:val="0"/>
        <w:keepLines w:val="0"/>
        <w:pageBreakBefore w:val="0"/>
        <w:kinsoku/>
        <w:wordWrap/>
        <w:overflowPunct/>
        <w:topLinePunct w:val="0"/>
        <w:bidi w:val="0"/>
        <w:spacing w:line="336" w:lineRule="auto"/>
        <w:ind w:firstLine="482" w:firstLineChars="200"/>
        <w:textAlignment w:val="auto"/>
        <w:outlineLvl w:val="0"/>
        <w:rPr>
          <w:rFonts w:ascii="Times New Roman" w:hAnsi="Times New Roman" w:cs="Times New Roman"/>
          <w:b/>
          <w:kern w:val="0"/>
          <w:sz w:val="24"/>
        </w:rPr>
      </w:pPr>
      <w:r>
        <w:rPr>
          <w:rFonts w:ascii="Times New Roman" w:hAnsi="Times New Roman" w:cs="Times New Roman"/>
          <w:b/>
          <w:kern w:val="0"/>
          <w:sz w:val="24"/>
        </w:rPr>
        <w:t>七、后续要求</w:t>
      </w:r>
    </w:p>
    <w:p w14:paraId="5FCAE7A4">
      <w:pPr>
        <w:keepNext w:val="0"/>
        <w:keepLines w:val="0"/>
        <w:pageBreakBefore w:val="0"/>
        <w:kinsoku/>
        <w:wordWrap/>
        <w:overflowPunct/>
        <w:topLinePunct w:val="0"/>
        <w:bidi w:val="0"/>
        <w:spacing w:line="336" w:lineRule="auto"/>
        <w:ind w:firstLine="480" w:firstLineChars="200"/>
        <w:textAlignment w:val="auto"/>
        <w:rPr>
          <w:rFonts w:ascii="Times New Roman" w:hAnsi="Times New Roman" w:cs="Times New Roman"/>
          <w:sz w:val="24"/>
        </w:rPr>
      </w:pPr>
      <w:r>
        <w:rPr>
          <w:rFonts w:ascii="Times New Roman" w:hAnsi="Times New Roman" w:cs="Times New Roman"/>
          <w:sz w:val="24"/>
        </w:rPr>
        <w:t xml:space="preserve">（一）加强项目现场及各环保设施（废水、废气）的运行管理，加强环境风险防范设施建设，规范固（危）废暂存场所建设与管理，完善相关台账管理制度，落实长效管理机制，确保各污染物长期稳定达标排放。 </w:t>
      </w:r>
    </w:p>
    <w:p w14:paraId="F55A24E2">
      <w:pPr>
        <w:pStyle w:val="2"/>
        <w:keepNext w:val="0"/>
        <w:keepLines w:val="0"/>
        <w:pageBreakBefore w:val="0"/>
        <w:numPr>
          <w:ilvl w:val="0"/>
          <w:numId w:val="0"/>
        </w:numPr>
        <w:kinsoku/>
        <w:wordWrap/>
        <w:overflowPunct/>
        <w:topLinePunct w:val="0"/>
        <w:bidi w:val="0"/>
        <w:spacing w:line="336" w:lineRule="auto"/>
        <w:ind w:firstLine="480" w:firstLineChars="200"/>
        <w:textAlignment w:val="auto"/>
        <w:rPr>
          <w:rFonts w:hint="eastAsia" w:ascii="Times New Roman" w:hAnsi="Times New Roman" w:cs="Times New Roman"/>
          <w:sz w:val="24"/>
          <w:lang w:val="en-US" w:eastAsia="zh-CN"/>
        </w:rPr>
      </w:pPr>
      <w:r>
        <w:rPr>
          <w:rFonts w:hint="eastAsia" w:ascii="Times New Roman" w:hAnsi="Times New Roman" w:cs="Times New Roman"/>
          <w:sz w:val="24"/>
          <w:lang w:eastAsia="zh-CN"/>
        </w:rPr>
        <w:t>（二）企业副产品为甲醇，</w:t>
      </w:r>
      <w:r>
        <w:rPr>
          <w:rFonts w:hint="eastAsia" w:ascii="Times New Roman" w:hAnsi="Times New Roman" w:cs="Times New Roman"/>
          <w:sz w:val="24"/>
          <w:lang w:val="en-US" w:eastAsia="zh-CN"/>
        </w:rPr>
        <w:t>建议后续参照《固体废物鉴别标准 通则》（GB 34330-2025）进行规范鉴别和管理。</w:t>
      </w:r>
    </w:p>
    <w:p w14:paraId="DA3B3933">
      <w:pPr>
        <w:pStyle w:val="2"/>
        <w:keepNext w:val="0"/>
        <w:keepLines w:val="0"/>
        <w:pageBreakBefore w:val="0"/>
        <w:numPr>
          <w:ilvl w:val="0"/>
          <w:numId w:val="0"/>
        </w:numPr>
        <w:kinsoku/>
        <w:wordWrap/>
        <w:overflowPunct/>
        <w:topLinePunct w:val="0"/>
        <w:bidi w:val="0"/>
        <w:spacing w:line="336" w:lineRule="auto"/>
        <w:ind w:firstLine="480" w:firstLineChars="200"/>
        <w:textAlignment w:val="auto"/>
        <w:rPr>
          <w:rFonts w:ascii="Times New Roman" w:hAnsi="Times New Roman" w:cs="Times New Roman"/>
          <w:sz w:val="24"/>
        </w:rPr>
      </w:pPr>
      <w:r>
        <w:rPr>
          <w:rFonts w:hint="eastAsia" w:ascii="Times New Roman" w:hAnsi="Times New Roman" w:cs="Times New Roman"/>
          <w:sz w:val="24"/>
          <w:lang w:val="en-US" w:eastAsia="zh-CN"/>
        </w:rPr>
        <w:t>（三）建议企业关注厂区无组织废气管控。建议废气喷淋塔周边建设围堰。</w:t>
      </w:r>
    </w:p>
    <w:p w14:paraId="3CC4BE8A">
      <w:pPr>
        <w:keepNext w:val="0"/>
        <w:keepLines w:val="0"/>
        <w:pageBreakBefore w:val="0"/>
        <w:kinsoku/>
        <w:wordWrap/>
        <w:overflowPunct/>
        <w:topLinePunct w:val="0"/>
        <w:bidi w:val="0"/>
        <w:snapToGrid w:val="0"/>
        <w:spacing w:line="336" w:lineRule="auto"/>
        <w:ind w:firstLine="480" w:firstLineChars="200"/>
        <w:jc w:val="left"/>
        <w:textAlignment w:val="auto"/>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lang w:eastAsia="zh-CN"/>
        </w:rPr>
        <w:t>四</w:t>
      </w:r>
      <w:r>
        <w:rPr>
          <w:rFonts w:ascii="Times New Roman" w:hAnsi="Times New Roman" w:cs="Times New Roman"/>
          <w:sz w:val="24"/>
        </w:rPr>
        <w:t>）验收监测单位须按照《建设项目竣工环境保护验收技术指南 污染影响类》等相关规范要求及验收现场会专家意见，进一步完善项目验收报告。</w:t>
      </w:r>
    </w:p>
    <w:p w14:paraId="0AD75AA0">
      <w:pPr>
        <w:keepNext w:val="0"/>
        <w:keepLines w:val="0"/>
        <w:pageBreakBefore w:val="0"/>
        <w:kinsoku/>
        <w:wordWrap/>
        <w:overflowPunct/>
        <w:topLinePunct w:val="0"/>
        <w:bidi w:val="0"/>
        <w:snapToGrid w:val="0"/>
        <w:spacing w:line="336" w:lineRule="auto"/>
        <w:ind w:firstLine="480" w:firstLineChars="200"/>
        <w:jc w:val="left"/>
        <w:textAlignment w:val="auto"/>
        <w:rPr>
          <w:rFonts w:ascii="Times New Roman" w:hAnsi="Times New Roman" w:eastAsia="宋体" w:cs="Times New Roman"/>
          <w:kern w:val="0"/>
          <w:sz w:val="24"/>
          <w:szCs w:val="24"/>
        </w:rPr>
      </w:pPr>
    </w:p>
    <w:p w14:paraId="40A0839A">
      <w:pPr>
        <w:keepNext w:val="0"/>
        <w:keepLines w:val="0"/>
        <w:pageBreakBefore w:val="0"/>
        <w:kinsoku/>
        <w:wordWrap/>
        <w:overflowPunct/>
        <w:topLinePunct w:val="0"/>
        <w:bidi w:val="0"/>
        <w:snapToGrid w:val="0"/>
        <w:spacing w:line="336" w:lineRule="auto"/>
        <w:ind w:firstLine="602" w:firstLineChars="200"/>
        <w:jc w:val="left"/>
        <w:textAlignment w:val="auto"/>
        <w:rPr>
          <w:rFonts w:ascii="Times New Roman" w:hAnsi="Times New Roman" w:eastAsia="宋体" w:cs="Times New Roman"/>
          <w:b/>
          <w:bCs/>
          <w:kern w:val="0"/>
          <w:sz w:val="30"/>
          <w:szCs w:val="30"/>
        </w:rPr>
      </w:pPr>
      <w:r>
        <w:rPr>
          <w:rFonts w:ascii="Times New Roman" w:hAnsi="Times New Roman" w:eastAsia="宋体" w:cs="Times New Roman"/>
          <w:b/>
          <w:bCs/>
          <w:kern w:val="0"/>
          <w:sz w:val="30"/>
          <w:szCs w:val="30"/>
        </w:rPr>
        <w:t>验收人员：</w:t>
      </w:r>
    </w:p>
    <w:p w14:paraId="319548FC">
      <w:pPr>
        <w:keepNext w:val="0"/>
        <w:keepLines w:val="0"/>
        <w:pageBreakBefore w:val="0"/>
        <w:kinsoku/>
        <w:wordWrap/>
        <w:overflowPunct/>
        <w:topLinePunct w:val="0"/>
        <w:bidi w:val="0"/>
        <w:snapToGrid w:val="0"/>
        <w:spacing w:line="336" w:lineRule="auto"/>
        <w:ind w:firstLine="482"/>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 </w:t>
      </w:r>
    </w:p>
    <w:p w14:paraId="DEC56A6F">
      <w:pPr>
        <w:pStyle w:val="2"/>
        <w:keepNext w:val="0"/>
        <w:keepLines w:val="0"/>
        <w:pageBreakBefore w:val="0"/>
        <w:numPr>
          <w:ilvl w:val="0"/>
          <w:numId w:val="0"/>
        </w:numPr>
        <w:kinsoku/>
        <w:wordWrap/>
        <w:overflowPunct/>
        <w:topLinePunct w:val="0"/>
        <w:bidi w:val="0"/>
        <w:snapToGrid w:val="0"/>
        <w:spacing w:line="336" w:lineRule="auto"/>
        <w:ind w:firstLine="482"/>
        <w:textAlignment w:val="auto"/>
        <w:rPr>
          <w:rFonts w:ascii="Times New Roman" w:hAnsi="Times New Roman" w:eastAsia="宋体" w:cs="Times New Roman"/>
          <w:kern w:val="0"/>
          <w:sz w:val="24"/>
          <w:szCs w:val="24"/>
        </w:rPr>
      </w:pPr>
    </w:p>
    <w:p w14:paraId="F52BCFFD">
      <w:pPr>
        <w:pStyle w:val="2"/>
        <w:keepNext w:val="0"/>
        <w:keepLines w:val="0"/>
        <w:pageBreakBefore w:val="0"/>
        <w:numPr>
          <w:ilvl w:val="0"/>
          <w:numId w:val="0"/>
        </w:numPr>
        <w:kinsoku/>
        <w:wordWrap/>
        <w:overflowPunct/>
        <w:topLinePunct w:val="0"/>
        <w:bidi w:val="0"/>
        <w:snapToGrid w:val="0"/>
        <w:spacing w:line="336" w:lineRule="auto"/>
        <w:ind w:firstLine="482"/>
        <w:textAlignment w:val="auto"/>
        <w:rPr>
          <w:rFonts w:ascii="Times New Roman" w:hAnsi="Times New Roman" w:eastAsia="宋体" w:cs="Times New Roman"/>
          <w:kern w:val="0"/>
          <w:sz w:val="24"/>
          <w:szCs w:val="24"/>
        </w:rPr>
      </w:pPr>
    </w:p>
    <w:p w14:paraId="883F366C">
      <w:pPr>
        <w:pStyle w:val="2"/>
        <w:keepNext w:val="0"/>
        <w:keepLines w:val="0"/>
        <w:pageBreakBefore w:val="0"/>
        <w:numPr>
          <w:ilvl w:val="0"/>
          <w:numId w:val="0"/>
        </w:numPr>
        <w:kinsoku/>
        <w:wordWrap/>
        <w:overflowPunct/>
        <w:topLinePunct w:val="0"/>
        <w:bidi w:val="0"/>
        <w:snapToGrid w:val="0"/>
        <w:spacing w:line="336" w:lineRule="auto"/>
        <w:ind w:firstLine="482"/>
        <w:jc w:val="right"/>
        <w:textAlignment w:val="auto"/>
        <w:rPr>
          <w:rFonts w:ascii="Times New Roman" w:hAnsi="Times New Roman" w:eastAsia="宋体" w:cs="Times New Roman"/>
          <w:kern w:val="0"/>
          <w:sz w:val="24"/>
          <w:szCs w:val="24"/>
          <w:lang w:val="en-US"/>
        </w:rPr>
      </w:pPr>
    </w:p>
    <w:p w14:paraId="4770F944">
      <w:pPr>
        <w:pStyle w:val="2"/>
        <w:keepNext w:val="0"/>
        <w:keepLines w:val="0"/>
        <w:pageBreakBefore w:val="0"/>
        <w:numPr>
          <w:ilvl w:val="0"/>
          <w:numId w:val="0"/>
        </w:numPr>
        <w:kinsoku/>
        <w:wordWrap/>
        <w:overflowPunct/>
        <w:topLinePunct w:val="0"/>
        <w:bidi w:val="0"/>
        <w:snapToGrid w:val="0"/>
        <w:spacing w:line="336" w:lineRule="auto"/>
        <w:ind w:firstLine="482"/>
        <w:jc w:val="right"/>
        <w:textAlignment w:val="auto"/>
        <w:rPr>
          <w:rFonts w:ascii="Times New Roman" w:hAnsi="Times New Roman" w:eastAsia="宋体" w:cs="Times New Roman"/>
          <w:kern w:val="0"/>
          <w:sz w:val="24"/>
          <w:szCs w:val="24"/>
          <w:lang w:val="en-US"/>
        </w:rPr>
      </w:pPr>
      <w:r>
        <w:rPr>
          <w:rFonts w:ascii="Times New Roman" w:hAnsi="Times New Roman" w:eastAsia="宋体" w:cs="Times New Roman"/>
          <w:kern w:val="0"/>
          <w:sz w:val="24"/>
          <w:szCs w:val="24"/>
          <w:lang w:val="en-US"/>
        </w:rPr>
        <w:t>衢州三时纪新材料有限公司</w:t>
      </w:r>
    </w:p>
    <w:p w14:paraId="9F24D7C9">
      <w:pPr>
        <w:pStyle w:val="2"/>
        <w:keepNext w:val="0"/>
        <w:keepLines w:val="0"/>
        <w:pageBreakBefore w:val="0"/>
        <w:numPr>
          <w:ilvl w:val="0"/>
          <w:numId w:val="0"/>
        </w:numPr>
        <w:kinsoku/>
        <w:wordWrap/>
        <w:overflowPunct/>
        <w:topLinePunct w:val="0"/>
        <w:bidi w:val="0"/>
        <w:snapToGrid w:val="0"/>
        <w:spacing w:line="336" w:lineRule="auto"/>
        <w:ind w:firstLine="482"/>
        <w:jc w:val="right"/>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lang w:val="en-US"/>
        </w:rPr>
        <w:t>2025年12月25日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F2118">
    <w:pPr>
      <w:pStyle w:val="11"/>
      <w:ind w:firstLine="361"/>
      <w:jc w:val="center"/>
    </w:pPr>
    <w:r>
      <w:fldChar w:fldCharType="begin"/>
    </w:r>
    <w:r>
      <w:instrText xml:space="preserve">PAGE   \* MERGEFORMAT</w:instrText>
    </w:r>
    <w:r>
      <w:fldChar w:fldCharType="separate"/>
    </w:r>
    <w:r>
      <w:rPr>
        <w:lang w:val="zh-CN"/>
      </w:rPr>
      <w:t>2</w:t>
    </w:r>
    <w:r>
      <w:fldChar w:fldCharType="end"/>
    </w:r>
  </w:p>
  <w:p w14:paraId="13CC2F26">
    <w:pPr>
      <w:pStyle w:val="11"/>
      <w:ind w:firstLine="36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decimal"/>
      <w:suff w:val="space"/>
      <w:lvlText w:val="%1."/>
      <w:lvlJc w:val="left"/>
      <w:pPr>
        <w:tabs>
          <w:tab w:val="left" w:pos="432"/>
        </w:tabs>
        <w:ind w:left="0" w:firstLine="0"/>
      </w:pPr>
      <w:rPr>
        <w:rFonts w:hint="default" w:ascii="Times New Roman" w:hAnsi="Times New Roman" w:eastAsia="宋体" w:cs="宋体"/>
        <w:b/>
        <w:sz w:val="24"/>
      </w:rPr>
    </w:lvl>
    <w:lvl w:ilvl="1" w:tentative="0">
      <w:start w:val="1"/>
      <w:numFmt w:val="decimal"/>
      <w:pStyle w:val="3"/>
      <w:suff w:val="space"/>
      <w:lvlText w:val="%1.%2."/>
      <w:lvlJc w:val="left"/>
      <w:pPr>
        <w:tabs>
          <w:tab w:val="left" w:pos="432"/>
        </w:tabs>
        <w:ind w:left="0" w:firstLine="0"/>
      </w:pPr>
      <w:rPr>
        <w:rFonts w:hint="default" w:ascii="Times New Roman" w:hAnsi="Times New Roman" w:eastAsia="宋体" w:cs="宋体"/>
        <w:b/>
        <w:sz w:val="24"/>
      </w:rPr>
    </w:lvl>
    <w:lvl w:ilvl="2" w:tentative="0">
      <w:start w:val="1"/>
      <w:numFmt w:val="decimal"/>
      <w:pStyle w:val="4"/>
      <w:suff w:val="space"/>
      <w:lvlText w:val="%1.%2.%3."/>
      <w:lvlJc w:val="left"/>
      <w:pPr>
        <w:tabs>
          <w:tab w:val="left" w:pos="432"/>
        </w:tabs>
        <w:ind w:left="0" w:firstLine="0"/>
      </w:pPr>
      <w:rPr>
        <w:rFonts w:hint="default" w:ascii="Times New Roman" w:hAnsi="Times New Roman" w:eastAsia="宋体" w:cs="宋体"/>
        <w:b/>
        <w:sz w:val="24"/>
      </w:rPr>
    </w:lvl>
    <w:lvl w:ilvl="3" w:tentative="0">
      <w:start w:val="1"/>
      <w:numFmt w:val="decimal"/>
      <w:pStyle w:val="5"/>
      <w:suff w:val="space"/>
      <w:lvlText w:val="%1.%2.%3.%4."/>
      <w:lvlJc w:val="left"/>
      <w:pPr>
        <w:tabs>
          <w:tab w:val="left" w:pos="432"/>
        </w:tabs>
        <w:ind w:left="0" w:firstLine="0"/>
      </w:pPr>
      <w:rPr>
        <w:rFonts w:hint="default" w:ascii="Times New Roman" w:hAnsi="Times New Roman" w:eastAsia="宋体" w:cs="宋体"/>
        <w:b/>
        <w:sz w:val="24"/>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15877"/>
    <w:rsid w:val="54740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paragraph" w:styleId="3">
    <w:name w:val="heading 2"/>
    <w:basedOn w:val="1"/>
    <w:next w:val="1"/>
    <w:qFormat/>
    <w:uiPriority w:val="0"/>
    <w:pPr>
      <w:keepNext/>
      <w:keepLines/>
      <w:numPr>
        <w:ilvl w:val="1"/>
        <w:numId w:val="1"/>
      </w:numPr>
      <w:spacing w:before="50" w:beforeLines="50" w:after="50" w:afterLines="50"/>
      <w:jc w:val="left"/>
      <w:outlineLvl w:val="1"/>
    </w:pPr>
    <w:rPr>
      <w:rFonts w:ascii="Times New Roman" w:hAnsi="Times New Roman" w:eastAsia="宋体" w:cs="Times New Roman"/>
      <w:b/>
      <w:bCs/>
      <w:sz w:val="24"/>
      <w:szCs w:val="32"/>
    </w:rPr>
  </w:style>
  <w:style w:type="paragraph" w:styleId="4">
    <w:name w:val="heading 3"/>
    <w:basedOn w:val="1"/>
    <w:next w:val="1"/>
    <w:qFormat/>
    <w:uiPriority w:val="0"/>
    <w:pPr>
      <w:keepNext/>
      <w:keepLines/>
      <w:numPr>
        <w:ilvl w:val="2"/>
        <w:numId w:val="1"/>
      </w:numPr>
      <w:spacing w:line="360" w:lineRule="auto"/>
      <w:outlineLvl w:val="2"/>
    </w:pPr>
    <w:rPr>
      <w:b/>
      <w:sz w:val="24"/>
    </w:rPr>
  </w:style>
  <w:style w:type="paragraph" w:styleId="5">
    <w:name w:val="heading 4"/>
    <w:basedOn w:val="1"/>
    <w:next w:val="1"/>
    <w:qFormat/>
    <w:uiPriority w:val="0"/>
    <w:pPr>
      <w:keepNext/>
      <w:keepLines/>
      <w:numPr>
        <w:ilvl w:val="3"/>
        <w:numId w:val="1"/>
      </w:numPr>
      <w:spacing w:before="280" w:after="290" w:line="372" w:lineRule="auto"/>
      <w:outlineLvl w:val="3"/>
    </w:pPr>
    <w:rPr>
      <w:rFonts w:ascii="Arial" w:hAnsi="Arial" w:eastAsia="黑体"/>
      <w:b/>
      <w:sz w:val="28"/>
    </w:rPr>
  </w:style>
  <w:style w:type="character" w:default="1" w:styleId="17">
    <w:name w:val="Default Paragraph Font"/>
    <w:uiPriority w:val="1"/>
  </w:style>
  <w:style w:type="table" w:default="1" w:styleId="15">
    <w:name w:val="Normal Table"/>
    <w:qFormat/>
    <w:uiPriority w:val="99"/>
    <w:tblPr>
      <w:tblCellMar>
        <w:top w:w="0" w:type="dxa"/>
        <w:left w:w="108" w:type="dxa"/>
        <w:bottom w:w="0" w:type="dxa"/>
        <w:right w:w="108" w:type="dxa"/>
      </w:tblCellMar>
    </w:tblPr>
  </w:style>
  <w:style w:type="paragraph" w:styleId="2">
    <w:name w:val="Normal Indent"/>
    <w:basedOn w:val="1"/>
    <w:link w:val="38"/>
    <w:qFormat/>
    <w:uiPriority w:val="0"/>
    <w:pPr>
      <w:spacing w:line="360" w:lineRule="auto"/>
      <w:ind w:firstLine="200" w:firstLineChars="200"/>
    </w:pPr>
    <w:rPr>
      <w:rFonts w:ascii="Times New Roman" w:hAnsi="Times New Roman" w:eastAsia="宋体" w:cs="Times New Roman"/>
      <w:sz w:val="24"/>
      <w:szCs w:val="24"/>
    </w:rPr>
  </w:style>
  <w:style w:type="paragraph" w:styleId="6">
    <w:name w:val="annotation text"/>
    <w:basedOn w:val="1"/>
    <w:link w:val="30"/>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7">
    <w:name w:val="Body Text"/>
    <w:basedOn w:val="1"/>
    <w:link w:val="34"/>
    <w:qFormat/>
    <w:uiPriority w:val="0"/>
    <w:pPr>
      <w:spacing w:after="120"/>
    </w:pPr>
    <w:rPr>
      <w:rFonts w:ascii="Times New Roman" w:hAnsi="Times New Roman" w:eastAsia="宋体" w:cs="Times New Roman"/>
      <w:szCs w:val="24"/>
    </w:rPr>
  </w:style>
  <w:style w:type="paragraph" w:styleId="8">
    <w:name w:val="Plain Text"/>
    <w:basedOn w:val="1"/>
    <w:next w:val="9"/>
    <w:qFormat/>
    <w:uiPriority w:val="99"/>
    <w:pPr>
      <w:widowControl/>
      <w:spacing w:beforeAutospacing="1" w:afterAutospacing="1"/>
      <w:jc w:val="left"/>
    </w:pPr>
    <w:rPr>
      <w:rFonts w:ascii="ˎ̥" w:hAnsi="ˎ̥"/>
      <w:sz w:val="18"/>
      <w:szCs w:val="18"/>
    </w:rPr>
  </w:style>
  <w:style w:type="paragraph" w:styleId="9">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10">
    <w:name w:val="Balloon Text"/>
    <w:basedOn w:val="1"/>
    <w:link w:val="33"/>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First Indent"/>
    <w:basedOn w:val="7"/>
    <w:qFormat/>
    <w:uiPriority w:val="0"/>
    <w:pPr>
      <w:adjustRightInd w:val="0"/>
      <w:snapToGrid w:val="0"/>
      <w:spacing w:line="336" w:lineRule="auto"/>
      <w:ind w:firstLine="200" w:firstLineChars="200"/>
    </w:pPr>
  </w:style>
  <w:style w:type="paragraph" w:styleId="14">
    <w:name w:val="Body Text First Indent 2"/>
    <w:basedOn w:val="5"/>
    <w:next w:val="1"/>
    <w:qFormat/>
    <w:uiPriority w:val="0"/>
    <w:pPr>
      <w:tabs>
        <w:tab w:val="clear" w:pos="432"/>
      </w:tabs>
      <w:autoSpaceDE w:val="0"/>
      <w:autoSpaceDN w:val="0"/>
      <w:spacing w:beforeLines="25" w:line="336" w:lineRule="auto"/>
      <w:ind w:firstLine="527"/>
    </w:pPr>
    <w:rPr>
      <w:rFonts w:ascii="宋体"/>
      <w:szCs w:val="28"/>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0"/>
    <w:rPr>
      <w:color w:val="0563C1"/>
      <w:u w:val="single"/>
    </w:rPr>
  </w:style>
  <w:style w:type="paragraph" w:customStyle="1" w:styleId="19">
    <w:name w:val="正文首行缩进2个字 Char"/>
    <w:basedOn w:val="1"/>
    <w:qFormat/>
    <w:uiPriority w:val="0"/>
    <w:pPr>
      <w:ind w:firstLine="480" w:firstLineChars="200"/>
    </w:pPr>
    <w:rPr>
      <w:rFonts w:eastAsia="楷体"/>
      <w:sz w:val="24"/>
      <w:szCs w:val="24"/>
    </w:rPr>
  </w:style>
  <w:style w:type="paragraph" w:customStyle="1" w:styleId="2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1">
    <w:name w:val="表格正文"/>
    <w:basedOn w:val="1"/>
    <w:qFormat/>
    <w:uiPriority w:val="0"/>
    <w:pPr>
      <w:spacing w:line="360" w:lineRule="exact"/>
      <w:jc w:val="center"/>
    </w:pPr>
    <w:rPr>
      <w:rFonts w:eastAsia="宋体"/>
      <w:color w:val="000000"/>
      <w:szCs w:val="24"/>
    </w:rPr>
  </w:style>
  <w:style w:type="paragraph" w:customStyle="1" w:styleId="22">
    <w:name w:val="列出段落1"/>
    <w:basedOn w:val="1"/>
    <w:qFormat/>
    <w:uiPriority w:val="99"/>
    <w:pPr>
      <w:ind w:firstLine="420" w:firstLineChars="200"/>
    </w:pPr>
  </w:style>
  <w:style w:type="paragraph" w:customStyle="1" w:styleId="23">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paragraph" w:customStyle="1" w:styleId="24">
    <w:name w:val="普通(网站)1"/>
    <w:basedOn w:val="1"/>
    <w:qFormat/>
    <w:uiPriority w:val="0"/>
    <w:pPr>
      <w:spacing w:before="100" w:beforeAutospacing="1" w:after="100" w:afterAutospacing="1"/>
    </w:pPr>
    <w:rPr>
      <w:rFonts w:ascii="宋体" w:hAnsi="宋体" w:eastAsia="宋体" w:cs="宋体"/>
      <w:sz w:val="24"/>
      <w:szCs w:val="24"/>
    </w:rPr>
  </w:style>
  <w:style w:type="paragraph" w:customStyle="1" w:styleId="25">
    <w:name w:val="正文001"/>
    <w:basedOn w:val="1"/>
    <w:qFormat/>
    <w:uiPriority w:val="0"/>
    <w:pPr>
      <w:spacing w:line="440" w:lineRule="atLeast"/>
      <w:ind w:firstLine="200" w:firstLineChars="200"/>
    </w:pPr>
    <w:rPr>
      <w:sz w:val="24"/>
      <w:szCs w:val="20"/>
    </w:rPr>
  </w:style>
  <w:style w:type="paragraph" w:customStyle="1" w:styleId="26">
    <w:name w:val="正文文字缩进 2"/>
    <w:basedOn w:val="1"/>
    <w:qFormat/>
    <w:uiPriority w:val="0"/>
    <w:pPr>
      <w:spacing w:line="560" w:lineRule="exact"/>
      <w:ind w:firstLine="570"/>
    </w:pPr>
    <w:rPr>
      <w:szCs w:val="28"/>
    </w:rPr>
  </w:style>
  <w:style w:type="paragraph" w:customStyle="1" w:styleId="27">
    <w:name w:val="Table Paragraph"/>
    <w:basedOn w:val="1"/>
    <w:qFormat/>
    <w:uiPriority w:val="1"/>
    <w:pPr>
      <w:jc w:val="left"/>
    </w:pPr>
    <w:rPr>
      <w:kern w:val="0"/>
      <w:sz w:val="22"/>
      <w:lang w:eastAsia="en-US"/>
    </w:rPr>
  </w:style>
  <w:style w:type="paragraph" w:customStyle="1" w:styleId="28">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29">
    <w:name w:val="页眉 字符"/>
    <w:basedOn w:val="17"/>
    <w:link w:val="12"/>
    <w:qFormat/>
    <w:uiPriority w:val="0"/>
    <w:rPr>
      <w:rFonts w:ascii="Calibri" w:hAnsi="Calibri" w:eastAsia="宋体" w:cs="宋体"/>
      <w:kern w:val="2"/>
      <w:sz w:val="18"/>
      <w:szCs w:val="18"/>
    </w:rPr>
  </w:style>
  <w:style w:type="character" w:customStyle="1" w:styleId="30">
    <w:name w:val="批注文字 字符"/>
    <w:basedOn w:val="17"/>
    <w:link w:val="6"/>
    <w:qFormat/>
    <w:uiPriority w:val="99"/>
    <w:rPr>
      <w:kern w:val="2"/>
      <w:sz w:val="24"/>
      <w:szCs w:val="24"/>
    </w:rPr>
  </w:style>
  <w:style w:type="character" w:customStyle="1" w:styleId="31">
    <w:name w:val="文本 Char"/>
    <w:link w:val="32"/>
    <w:qFormat/>
    <w:uiPriority w:val="0"/>
    <w:rPr>
      <w:rFonts w:eastAsia="宋体" w:cs="宋体"/>
      <w:kern w:val="2"/>
      <w:sz w:val="24"/>
      <w:szCs w:val="22"/>
    </w:rPr>
  </w:style>
  <w:style w:type="paragraph" w:customStyle="1" w:styleId="32">
    <w:name w:val="文本"/>
    <w:basedOn w:val="1"/>
    <w:link w:val="31"/>
    <w:qFormat/>
    <w:uiPriority w:val="0"/>
    <w:pPr>
      <w:spacing w:line="360" w:lineRule="auto"/>
      <w:ind w:firstLine="480" w:firstLineChars="200"/>
      <w:jc w:val="left"/>
    </w:pPr>
    <w:rPr>
      <w:rFonts w:ascii="Times New Roman" w:hAnsi="Times New Roman"/>
      <w:sz w:val="24"/>
    </w:rPr>
  </w:style>
  <w:style w:type="character" w:customStyle="1" w:styleId="33">
    <w:name w:val="批注框文本 字符"/>
    <w:basedOn w:val="17"/>
    <w:link w:val="10"/>
    <w:qFormat/>
    <w:uiPriority w:val="0"/>
    <w:rPr>
      <w:rFonts w:ascii="Calibri" w:hAnsi="Calibri" w:eastAsia="宋体" w:cs="宋体"/>
      <w:kern w:val="2"/>
      <w:sz w:val="18"/>
      <w:szCs w:val="18"/>
    </w:rPr>
  </w:style>
  <w:style w:type="character" w:customStyle="1" w:styleId="34">
    <w:name w:val="正文文本 字符"/>
    <w:basedOn w:val="17"/>
    <w:link w:val="7"/>
    <w:qFormat/>
    <w:uiPriority w:val="0"/>
    <w:rPr>
      <w:kern w:val="2"/>
      <w:sz w:val="21"/>
      <w:szCs w:val="24"/>
    </w:rPr>
  </w:style>
  <w:style w:type="paragraph" w:styleId="35">
    <w:name w:val="List Paragraph"/>
    <w:basedOn w:val="1"/>
    <w:qFormat/>
    <w:uiPriority w:val="34"/>
    <w:pPr>
      <w:ind w:firstLine="420" w:firstLineChars="200"/>
    </w:pPr>
  </w:style>
  <w:style w:type="table" w:customStyle="1" w:styleId="36">
    <w:name w:val="TableGrid"/>
    <w:qFormat/>
    <w:uiPriority w:val="0"/>
    <w:tblPr>
      <w:tblCellMar>
        <w:top w:w="0" w:type="dxa"/>
        <w:left w:w="0" w:type="dxa"/>
        <w:bottom w:w="0" w:type="dxa"/>
        <w:right w:w="0" w:type="dxa"/>
      </w:tblCellMar>
    </w:tblPr>
  </w:style>
  <w:style w:type="character" w:customStyle="1" w:styleId="37">
    <w:name w:val="未处理的提及1"/>
    <w:basedOn w:val="17"/>
    <w:qFormat/>
    <w:uiPriority w:val="99"/>
    <w:rPr>
      <w:color w:val="605E5C"/>
      <w:shd w:val="clear" w:color="auto" w:fill="E1DFDD"/>
    </w:rPr>
  </w:style>
  <w:style w:type="character" w:customStyle="1" w:styleId="38">
    <w:name w:val="正文缩进 字符"/>
    <w:link w:val="2"/>
    <w:qFormat/>
    <w:uiPriority w:val="0"/>
    <w:rPr>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5231</Words>
  <Characters>6232</Characters>
  <Paragraphs>94</Paragraphs>
  <TotalTime>144</TotalTime>
  <ScaleCrop>false</ScaleCrop>
  <LinksUpToDate>false</LinksUpToDate>
  <CharactersWithSpaces>6256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2018-01-08T02:45:00Z</dcterms:created>
  <dc:creator>七个柚子</dc:creator>
  <cp:lastModifiedBy>L.Q.B</cp:lastModifiedBy>
  <cp:lastPrinted>2025-09-29T13:07:00Z</cp:lastPrinted>
  <dcterms:modified xsi:type="dcterms:W3CDTF">2025-12-25T07:29:54Z</dcterms:modified>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01F1F1FFCB2C440A96261EBF22903433_13</vt:lpwstr>
  </property>
  <property fmtid="{D5CDD505-2E9C-101B-9397-08002B2CF9AE}" pid="4" name="KSOTemplateDocerSaveRecord">
    <vt:lpwstr>eyJoZGlkIjoiYmU3YjI1NzlmZjU5M2QyNGQ2NzMzYTZlNDY3YjdlOTkiLCJ1c2VySWQiOiIzMjQ2MDUwMDQifQ==</vt:lpwstr>
  </property>
</Properties>
</file>