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ED4A7">
      <w:pPr>
        <w:keepNext w:val="0"/>
        <w:keepLines w:val="0"/>
        <w:pageBreakBefore w:val="0"/>
        <w:widowControl w:val="0"/>
        <w:kinsoku/>
        <w:wordWrap/>
        <w:overflowPunct/>
        <w:topLinePunct w:val="0"/>
        <w:bidi w:val="0"/>
        <w:snapToGrid w:val="0"/>
        <w:spacing w:line="360" w:lineRule="auto"/>
        <w:ind w:right="0"/>
        <w:jc w:val="center"/>
        <w:textAlignment w:val="auto"/>
        <w:rPr>
          <w:rFonts w:hint="default" w:ascii="Times New Roman" w:hAnsi="Times New Roman" w:eastAsia="宋体" w:cs="Times New Roman"/>
          <w:b/>
          <w:color w:val="auto"/>
          <w:spacing w:val="0"/>
          <w:sz w:val="28"/>
          <w:szCs w:val="28"/>
        </w:rPr>
      </w:pPr>
      <w:r>
        <w:rPr>
          <w:rFonts w:hint="eastAsia" w:ascii="Times New Roman" w:hAnsi="Times New Roman" w:eastAsia="宋体" w:cs="Times New Roman"/>
          <w:b/>
          <w:color w:val="auto"/>
          <w:spacing w:val="0"/>
          <w:sz w:val="28"/>
          <w:szCs w:val="28"/>
          <w:lang w:eastAsia="zh-CN"/>
        </w:rPr>
        <w:t>龙游锐鑫塑料制品有限公司年产3000万只塑料制品真空镀膜生产线项目</w:t>
      </w:r>
      <w:r>
        <w:rPr>
          <w:rFonts w:hint="default" w:ascii="Times New Roman" w:hAnsi="Times New Roman" w:eastAsia="宋体" w:cs="Times New Roman"/>
          <w:b/>
          <w:color w:val="auto"/>
          <w:spacing w:val="0"/>
          <w:sz w:val="28"/>
          <w:szCs w:val="28"/>
        </w:rPr>
        <w:t>竣工环境保护验收意见</w:t>
      </w:r>
    </w:p>
    <w:p w14:paraId="645C24B2">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2025</w:t>
      </w:r>
      <w:r>
        <w:rPr>
          <w:rFonts w:hint="default" w:ascii="Times New Roman" w:hAnsi="Times New Roman" w:eastAsia="宋体" w:cs="Times New Roman"/>
          <w:color w:val="auto"/>
          <w:sz w:val="24"/>
          <w:szCs w:val="24"/>
          <w:lang w:eastAsia="zh-CN"/>
        </w:rPr>
        <w:t>年</w:t>
      </w:r>
      <w:r>
        <w:rPr>
          <w:rFonts w:hint="eastAsia" w:ascii="Times New Roman" w:hAnsi="Times New Roman" w:eastAsia="宋体" w:cs="Times New Roman"/>
          <w:color w:val="auto"/>
          <w:sz w:val="24"/>
          <w:szCs w:val="24"/>
          <w:lang w:val="en-US" w:eastAsia="zh-CN"/>
        </w:rPr>
        <w:t>12</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lang w:eastAsia="zh-CN"/>
        </w:rPr>
        <w:t>日</w:t>
      </w:r>
      <w:r>
        <w:rPr>
          <w:rFonts w:hint="default"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eastAsia="zh-CN"/>
        </w:rPr>
        <w:t>龙游锐鑫塑料制品有限公司</w:t>
      </w:r>
      <w:r>
        <w:rPr>
          <w:rFonts w:hint="default" w:ascii="Times New Roman" w:hAnsi="Times New Roman" w:eastAsia="宋体" w:cs="Times New Roman"/>
          <w:color w:val="auto"/>
          <w:sz w:val="24"/>
          <w:szCs w:val="24"/>
          <w:lang w:eastAsia="zh-CN"/>
        </w:rPr>
        <w:t>根据《</w:t>
      </w:r>
      <w:r>
        <w:rPr>
          <w:rFonts w:hint="eastAsia" w:ascii="Times New Roman" w:hAnsi="Times New Roman" w:eastAsia="宋体" w:cs="Times New Roman"/>
          <w:color w:val="auto"/>
          <w:sz w:val="24"/>
          <w:szCs w:val="24"/>
          <w:lang w:eastAsia="zh-CN"/>
        </w:rPr>
        <w:t>龙游锐鑫塑料制品有限公司年产3000万只塑料制品真空镀膜生产线项目</w:t>
      </w:r>
      <w:r>
        <w:rPr>
          <w:rFonts w:hint="default" w:ascii="Times New Roman" w:hAnsi="Times New Roman" w:eastAsia="宋体" w:cs="Times New Roman"/>
          <w:color w:val="auto"/>
          <w:sz w:val="24"/>
          <w:szCs w:val="24"/>
          <w:lang w:eastAsia="zh-CN"/>
        </w:rPr>
        <w:t>竣工环境保护验收监测报告》，并对照《建</w:t>
      </w:r>
      <w:r>
        <w:rPr>
          <w:rFonts w:hint="default" w:ascii="Times New Roman" w:hAnsi="Times New Roman" w:eastAsia="宋体" w:cs="Times New Roman"/>
          <w:color w:val="auto"/>
          <w:sz w:val="24"/>
          <w:szCs w:val="24"/>
        </w:rPr>
        <w:t>设项目竣工环境保护验收暂行办法》（国环规环评[2017]4号）、关于印发《污染影响类建设项目重大变动清单（试行）》的通知（环办环评函（2020）688号），严格依照国家有关法律法规、建设项目竣工环境保护验收技术</w:t>
      </w:r>
      <w:r>
        <w:rPr>
          <w:rFonts w:hint="eastAsia" w:ascii="Times New Roman" w:hAnsi="Times New Roman" w:eastAsia="宋体" w:cs="Times New Roman"/>
          <w:color w:val="auto"/>
          <w:sz w:val="24"/>
          <w:szCs w:val="24"/>
          <w:lang w:eastAsia="zh-CN"/>
        </w:rPr>
        <w:t>指南</w:t>
      </w:r>
      <w:r>
        <w:rPr>
          <w:rFonts w:hint="default" w:ascii="Times New Roman" w:hAnsi="Times New Roman" w:eastAsia="宋体" w:cs="Times New Roman"/>
          <w:color w:val="auto"/>
          <w:sz w:val="24"/>
          <w:szCs w:val="24"/>
        </w:rPr>
        <w:t>、环境影响</w:t>
      </w:r>
      <w:r>
        <w:rPr>
          <w:rFonts w:hint="default" w:ascii="Times New Roman" w:hAnsi="Times New Roman" w:eastAsia="宋体" w:cs="Times New Roman"/>
          <w:color w:val="auto"/>
          <w:sz w:val="24"/>
          <w:szCs w:val="24"/>
          <w:lang w:val="en-US" w:eastAsia="zh-CN"/>
        </w:rPr>
        <w:t>报告表</w:t>
      </w:r>
      <w:r>
        <w:rPr>
          <w:rFonts w:hint="default" w:ascii="Times New Roman" w:hAnsi="Times New Roman" w:eastAsia="宋体" w:cs="Times New Roman"/>
          <w:color w:val="auto"/>
          <w:sz w:val="24"/>
          <w:szCs w:val="24"/>
        </w:rPr>
        <w:t>和审</w:t>
      </w:r>
      <w:r>
        <w:rPr>
          <w:rFonts w:hint="default" w:ascii="Times New Roman" w:hAnsi="Times New Roman" w:eastAsia="宋体" w:cs="Times New Roman"/>
          <w:color w:val="auto"/>
          <w:sz w:val="24"/>
          <w:szCs w:val="24"/>
          <w:lang w:eastAsia="zh-CN"/>
        </w:rPr>
        <w:t>批部门</w:t>
      </w:r>
      <w:r>
        <w:rPr>
          <w:rFonts w:hint="default" w:ascii="Times New Roman" w:hAnsi="Times New Roman" w:eastAsia="宋体" w:cs="Times New Roman"/>
          <w:color w:val="auto"/>
          <w:sz w:val="24"/>
          <w:szCs w:val="24"/>
          <w:lang w:val="en-US" w:eastAsia="zh-CN"/>
        </w:rPr>
        <w:t>审查意见</w:t>
      </w:r>
      <w:r>
        <w:rPr>
          <w:rFonts w:hint="default" w:ascii="Times New Roman" w:hAnsi="Times New Roman" w:eastAsia="宋体" w:cs="Times New Roman"/>
          <w:color w:val="auto"/>
          <w:sz w:val="24"/>
          <w:szCs w:val="24"/>
          <w:lang w:eastAsia="zh-CN"/>
        </w:rPr>
        <w:t>要求对</w:t>
      </w:r>
      <w:r>
        <w:rPr>
          <w:rFonts w:hint="eastAsia" w:ascii="Times New Roman" w:hAnsi="Times New Roman" w:eastAsia="宋体" w:cs="Times New Roman"/>
          <w:color w:val="auto"/>
          <w:sz w:val="24"/>
          <w:szCs w:val="24"/>
          <w:lang w:eastAsia="zh-CN"/>
        </w:rPr>
        <w:t>龙游锐鑫塑料制品有限公司年产3000万只塑料制品真空镀膜生产线项目</w:t>
      </w:r>
      <w:r>
        <w:rPr>
          <w:rFonts w:hint="default" w:ascii="Times New Roman" w:hAnsi="Times New Roman" w:eastAsia="宋体" w:cs="Times New Roman"/>
          <w:color w:val="auto"/>
          <w:sz w:val="24"/>
          <w:szCs w:val="24"/>
          <w:lang w:eastAsia="zh-CN"/>
        </w:rPr>
        <w:t>进行竣工环境保护验收。本次验收小组结合《验收监测报告》等资料及环境保护设施现场检查情况，提出该项目验收意见如下</w:t>
      </w:r>
      <w:r>
        <w:rPr>
          <w:rFonts w:hint="default" w:ascii="Times New Roman" w:hAnsi="Times New Roman" w:eastAsia="宋体" w:cs="Times New Roman"/>
          <w:color w:val="auto"/>
          <w:sz w:val="24"/>
          <w:szCs w:val="24"/>
        </w:rPr>
        <w:t>：</w:t>
      </w:r>
    </w:p>
    <w:p w14:paraId="1A3CFD21">
      <w:pPr>
        <w:keepNext w:val="0"/>
        <w:keepLines w:val="0"/>
        <w:pageBreakBefore w:val="0"/>
        <w:widowControl w:val="0"/>
        <w:kinsoku/>
        <w:wordWrap/>
        <w:overflowPunct/>
        <w:topLinePunct w:val="0"/>
        <w:bidi w:val="0"/>
        <w:snapToGrid w:val="0"/>
        <w:spacing w:line="37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一、工程建设基本情况</w:t>
      </w:r>
    </w:p>
    <w:p w14:paraId="29F86D5A">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（一）建设地点、规模、主要建设内容</w:t>
      </w:r>
    </w:p>
    <w:p w14:paraId="00F8A2C1">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000000"/>
          <w:sz w:val="24"/>
          <w:szCs w:val="24"/>
          <w:lang w:val="en-US" w:eastAsia="zh-CN" w:bidi="zh-CN"/>
        </w:rPr>
      </w:pPr>
      <w:r>
        <w:rPr>
          <w:rFonts w:hint="default" w:ascii="Times New Roman" w:hAnsi="Times New Roman" w:eastAsia="宋体" w:cs="Times New Roman"/>
          <w:color w:val="000000"/>
          <w:sz w:val="24"/>
          <w:szCs w:val="24"/>
          <w:lang w:val="en-US" w:eastAsia="zh-CN" w:bidi="zh-CN"/>
        </w:rPr>
        <w:t>1、建设单位：</w:t>
      </w:r>
      <w:r>
        <w:rPr>
          <w:rFonts w:hint="eastAsia" w:ascii="Times New Roman" w:hAnsi="Times New Roman" w:eastAsia="宋体" w:cs="Times New Roman"/>
          <w:color w:val="000000"/>
          <w:sz w:val="24"/>
          <w:szCs w:val="24"/>
          <w:lang w:val="en-US" w:eastAsia="zh-CN" w:bidi="zh-CN"/>
        </w:rPr>
        <w:t>龙游锐鑫塑料制品有限公司</w:t>
      </w:r>
      <w:r>
        <w:rPr>
          <w:rFonts w:hint="default" w:ascii="Times New Roman" w:hAnsi="Times New Roman" w:eastAsia="宋体" w:cs="Times New Roman"/>
          <w:color w:val="000000"/>
          <w:sz w:val="24"/>
          <w:szCs w:val="24"/>
          <w:lang w:val="en-US" w:eastAsia="zh-CN" w:bidi="zh-CN"/>
        </w:rPr>
        <w:t>；</w:t>
      </w:r>
    </w:p>
    <w:p w14:paraId="486411E1">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en-US" w:eastAsia="zh-CN" w:bidi="zh-CN"/>
        </w:rPr>
        <w:t>2、建设地点：</w:t>
      </w:r>
      <w:r>
        <w:rPr>
          <w:rFonts w:hint="eastAsia" w:ascii="Times New Roman" w:hAnsi="Times New Roman" w:eastAsia="宋体" w:cs="Times New Roman"/>
          <w:color w:val="auto"/>
          <w:sz w:val="24"/>
          <w:szCs w:val="24"/>
          <w:highlight w:val="none"/>
          <w:lang w:val="en-US" w:eastAsia="zh-CN" w:bidi="zh-CN"/>
        </w:rPr>
        <w:t>浙江省衢州市龙游县浙江龙游经济开发区金星大道25号3号厂房3楼</w:t>
      </w:r>
      <w:r>
        <w:rPr>
          <w:rFonts w:hint="default" w:ascii="Times New Roman" w:hAnsi="Times New Roman" w:eastAsia="宋体" w:cs="Times New Roman"/>
          <w:color w:val="auto"/>
          <w:sz w:val="24"/>
          <w:szCs w:val="24"/>
          <w:highlight w:val="none"/>
          <w:lang w:val="en-US" w:eastAsia="zh-CN" w:bidi="zh-CN"/>
        </w:rPr>
        <w:t>；</w:t>
      </w:r>
    </w:p>
    <w:p w14:paraId="1E6BE1DC">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en-US" w:eastAsia="zh-CN" w:bidi="zh-CN"/>
        </w:rPr>
        <w:t>3、建设规模：审批规模为</w:t>
      </w:r>
      <w:r>
        <w:rPr>
          <w:rFonts w:hint="eastAsia" w:ascii="Times New Roman" w:hAnsi="Times New Roman" w:eastAsia="宋体" w:cs="Times New Roman"/>
          <w:sz w:val="24"/>
          <w:szCs w:val="24"/>
          <w:lang w:eastAsia="zh-CN"/>
        </w:rPr>
        <w:t>年产3000万只塑料制品真空镀膜</w:t>
      </w:r>
      <w:r>
        <w:rPr>
          <w:rFonts w:hint="default" w:ascii="Times New Roman" w:hAnsi="Times New Roman" w:eastAsia="宋体" w:cs="Times New Roman"/>
          <w:color w:val="auto"/>
          <w:sz w:val="24"/>
          <w:szCs w:val="24"/>
          <w:lang w:val="en-US" w:eastAsia="zh-CN" w:bidi="zh-CN"/>
        </w:rPr>
        <w:t>，实际已建成规模为具备</w:t>
      </w:r>
      <w:r>
        <w:rPr>
          <w:rFonts w:hint="eastAsia" w:ascii="Times New Roman" w:hAnsi="Times New Roman" w:eastAsia="宋体" w:cs="Times New Roman"/>
          <w:sz w:val="24"/>
          <w:szCs w:val="24"/>
          <w:lang w:eastAsia="zh-CN"/>
        </w:rPr>
        <w:t>年产3000万只塑料制品真空镀膜</w:t>
      </w:r>
      <w:r>
        <w:rPr>
          <w:rFonts w:hint="default" w:ascii="Times New Roman" w:hAnsi="Times New Roman" w:eastAsia="宋体" w:cs="Times New Roman"/>
          <w:color w:val="auto"/>
          <w:sz w:val="24"/>
          <w:szCs w:val="24"/>
          <w:lang w:val="en-US" w:eastAsia="zh-CN" w:bidi="zh-CN"/>
        </w:rPr>
        <w:t>的生产能力</w:t>
      </w:r>
      <w:r>
        <w:rPr>
          <w:rFonts w:hint="eastAsia" w:ascii="Times New Roman" w:hAnsi="Times New Roman" w:eastAsia="宋体" w:cs="Times New Roman"/>
          <w:color w:val="auto"/>
          <w:sz w:val="24"/>
          <w:szCs w:val="24"/>
          <w:lang w:val="en-US" w:eastAsia="zh-CN" w:bidi="zh-CN"/>
        </w:rPr>
        <w:t>。</w:t>
      </w:r>
    </w:p>
    <w:p w14:paraId="4ED60771">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000000"/>
          <w:sz w:val="24"/>
          <w:szCs w:val="24"/>
          <w:lang w:val="en-US" w:eastAsia="zh-CN" w:bidi="zh-CN"/>
        </w:rPr>
      </w:pPr>
      <w:r>
        <w:rPr>
          <w:rFonts w:hint="default" w:ascii="Times New Roman" w:hAnsi="Times New Roman" w:eastAsia="宋体" w:cs="Times New Roman"/>
          <w:color w:val="000000"/>
          <w:sz w:val="24"/>
          <w:szCs w:val="24"/>
          <w:lang w:val="en-US" w:eastAsia="zh-CN" w:bidi="zh-CN"/>
        </w:rPr>
        <w:t>4、建设内容：</w:t>
      </w:r>
      <w:r>
        <w:rPr>
          <w:rFonts w:hint="eastAsia" w:ascii="Times New Roman" w:hAnsi="Times New Roman" w:eastAsia="宋体" w:cs="Times New Roman"/>
          <w:color w:val="000000"/>
          <w:sz w:val="24"/>
          <w:szCs w:val="24"/>
          <w:lang w:val="en-US" w:eastAsia="zh-CN" w:bidi="zh-CN"/>
        </w:rPr>
        <w:t>龙游锐鑫塑料制品有限公司租用龙游同创电子技术开发有限公司位于浙江龙游经济开发区金星大道25号的3号厂房3楼（租赁面积1396.8m</w:t>
      </w:r>
      <w:r>
        <w:rPr>
          <w:rFonts w:hint="eastAsia" w:ascii="Times New Roman" w:hAnsi="Times New Roman" w:eastAsia="宋体" w:cs="Times New Roman"/>
          <w:color w:val="000000"/>
          <w:sz w:val="24"/>
          <w:szCs w:val="24"/>
          <w:vertAlign w:val="superscript"/>
          <w:lang w:val="en-US" w:eastAsia="zh-CN" w:bidi="zh-CN"/>
        </w:rPr>
        <w:t>2</w:t>
      </w:r>
      <w:r>
        <w:rPr>
          <w:rFonts w:hint="eastAsia" w:ascii="Times New Roman" w:hAnsi="Times New Roman" w:eastAsia="宋体" w:cs="Times New Roman"/>
          <w:color w:val="000000"/>
          <w:sz w:val="24"/>
          <w:szCs w:val="24"/>
          <w:lang w:val="en-US" w:eastAsia="zh-CN" w:bidi="zh-CN"/>
        </w:rPr>
        <w:t>），实际投资150万元，实际环保投资40万元，采用上涂装线、静电除尘、火焰处理、喷PP处理剂、喷底漆、UV光固化、下涂装线、真空镀膜、喷面漆、产品检验等生产工艺，购置UV涂装流水线、真空镀膜机、空压机、电捕焦油器（微旋流设备）等生产设备，用于塑料制品UV喷漆真空镀膜，建设年产3000万只塑料制品真空镀膜生产线项目。本项目于2023年8月开工建设，2025年2月28日完成调试，2025年3月开始试生产，具备年产3000万只塑料制品真空镀膜的生产能力</w:t>
      </w:r>
      <w:r>
        <w:rPr>
          <w:rFonts w:hint="default" w:ascii="Times New Roman" w:hAnsi="Times New Roman" w:eastAsia="宋体" w:cs="Times New Roman"/>
          <w:color w:val="000000"/>
          <w:sz w:val="24"/>
          <w:szCs w:val="24"/>
          <w:lang w:val="en-US" w:eastAsia="zh-CN" w:bidi="zh-CN"/>
        </w:rPr>
        <w:t>。</w:t>
      </w:r>
    </w:p>
    <w:p w14:paraId="4DEAB14C">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本项目员工人数</w:t>
      </w:r>
      <w:r>
        <w:rPr>
          <w:rFonts w:hint="eastAsia" w:ascii="Times New Roman" w:hAnsi="Times New Roman" w:cs="Times New Roman"/>
          <w:color w:val="000000"/>
          <w:sz w:val="24"/>
          <w:szCs w:val="24"/>
          <w:highlight w:val="none"/>
          <w:lang w:val="en-US" w:eastAsia="zh-CN" w:bidi="zh-CN"/>
        </w:rPr>
        <w:t>25人，工作班制为9小时白班一班制，年工作300天，项目厂区不设食堂和宿舍，本项目夜间不生产</w:t>
      </w:r>
      <w:r>
        <w:rPr>
          <w:rFonts w:hint="default" w:ascii="Times New Roman" w:hAnsi="Times New Roman" w:eastAsia="宋体" w:cs="Times New Roman"/>
          <w:color w:val="000000"/>
          <w:sz w:val="24"/>
          <w:szCs w:val="24"/>
          <w:lang w:val="en-US" w:eastAsia="zh-CN" w:bidi="zh-CN"/>
        </w:rPr>
        <w:t>。</w:t>
      </w:r>
    </w:p>
    <w:p w14:paraId="05C0A566">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（二）建设过程及环保审批情况</w:t>
      </w:r>
    </w:p>
    <w:p w14:paraId="60270FDE">
      <w:pPr>
        <w:keepNext w:val="0"/>
        <w:keepLines w:val="0"/>
        <w:pageBreakBefore w:val="0"/>
        <w:kinsoku/>
        <w:wordWrap/>
        <w:overflowPunct/>
        <w:topLinePunct w:val="0"/>
        <w:bidi w:val="0"/>
        <w:spacing w:line="370" w:lineRule="auto"/>
        <w:ind w:firstLine="480"/>
        <w:textAlignment w:val="auto"/>
        <w:rPr>
          <w:rFonts w:hint="default" w:ascii="Times New Roman" w:hAnsi="Times New Roman" w:eastAsia="宋体"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项目</w:t>
      </w:r>
      <w:r>
        <w:rPr>
          <w:rFonts w:hint="eastAsia" w:ascii="Times New Roman" w:hAnsi="Times New Roman" w:cs="Times New Roman"/>
          <w:color w:val="000000"/>
          <w:sz w:val="24"/>
          <w:szCs w:val="24"/>
          <w:highlight w:val="none"/>
          <w:lang w:val="en-US" w:eastAsia="zh-CN" w:bidi="zh-CN"/>
        </w:rPr>
        <w:t>于2023年5月8日</w:t>
      </w:r>
      <w:r>
        <w:rPr>
          <w:rFonts w:hint="eastAsia" w:ascii="Times New Roman" w:hAnsi="Times New Roman" w:cs="Times New Roman"/>
          <w:color w:val="000000"/>
          <w:sz w:val="24"/>
          <w:szCs w:val="24"/>
          <w:lang w:val="en-US" w:eastAsia="zh-CN" w:bidi="zh-CN"/>
        </w:rPr>
        <w:t>在龙游县经济和信息化局完成了备案（项目代码：2305-330825-07-02-173128）</w:t>
      </w:r>
      <w:r>
        <w:rPr>
          <w:rFonts w:hint="default" w:ascii="Times New Roman" w:hAnsi="Times New Roman" w:eastAsia="宋体" w:cs="Times New Roman"/>
          <w:color w:val="000000"/>
          <w:sz w:val="24"/>
          <w:szCs w:val="24"/>
          <w:lang w:val="en-US" w:eastAsia="zh-CN" w:bidi="zh-CN"/>
        </w:rPr>
        <w:t>。</w:t>
      </w:r>
    </w:p>
    <w:p w14:paraId="49B84AE2">
      <w:pPr>
        <w:keepNext w:val="0"/>
        <w:keepLines w:val="0"/>
        <w:pageBreakBefore w:val="0"/>
        <w:kinsoku/>
        <w:wordWrap/>
        <w:overflowPunct/>
        <w:topLinePunct w:val="0"/>
        <w:bidi w:val="0"/>
        <w:spacing w:line="370" w:lineRule="auto"/>
        <w:ind w:firstLine="480"/>
        <w:textAlignment w:val="auto"/>
        <w:rPr>
          <w:rFonts w:hint="default" w:ascii="Times New Roman" w:hAnsi="Times New Roman" w:eastAsia="宋体" w:cs="Times New Roman"/>
          <w:color w:val="000000"/>
          <w:sz w:val="24"/>
          <w:szCs w:val="24"/>
          <w:highlight w:val="none"/>
          <w:lang w:val="en-US" w:eastAsia="zh-CN" w:bidi="zh-CN"/>
        </w:rPr>
      </w:pPr>
      <w:r>
        <w:rPr>
          <w:rFonts w:hint="eastAsia" w:ascii="Times New Roman" w:hAnsi="Times New Roman" w:cs="Times New Roman"/>
          <w:color w:val="000000"/>
          <w:sz w:val="24"/>
          <w:szCs w:val="24"/>
          <w:lang w:val="en-US" w:eastAsia="zh-CN" w:bidi="zh-CN"/>
        </w:rPr>
        <w:t>2023年7月，我公司委托</w:t>
      </w:r>
      <w:r>
        <w:rPr>
          <w:rFonts w:hint="eastAsia" w:ascii="Times New Roman" w:hAnsi="Times New Roman" w:cs="Times New Roman"/>
          <w:color w:val="000000"/>
          <w:sz w:val="24"/>
          <w:szCs w:val="24"/>
          <w:highlight w:val="none"/>
          <w:lang w:val="en-US" w:eastAsia="zh-CN" w:bidi="zh-CN"/>
        </w:rPr>
        <w:t>浙江博晟环保科技有限公司</w:t>
      </w:r>
      <w:r>
        <w:rPr>
          <w:rFonts w:hint="eastAsia" w:ascii="Times New Roman" w:hAnsi="Times New Roman" w:cs="Times New Roman"/>
          <w:color w:val="000000"/>
          <w:sz w:val="24"/>
          <w:szCs w:val="24"/>
          <w:lang w:val="en-US" w:eastAsia="zh-CN" w:bidi="zh-CN"/>
        </w:rPr>
        <w:t>编制了《龙游锐鑫塑料制品有限公司年产3000万只塑料制品真空镀膜生产线项目环境影响报告表》，</w:t>
      </w:r>
      <w:r>
        <w:rPr>
          <w:rFonts w:hint="eastAsia" w:ascii="Times New Roman" w:hAnsi="Times New Roman" w:cs="Times New Roman"/>
          <w:color w:val="000000"/>
          <w:sz w:val="24"/>
          <w:szCs w:val="24"/>
          <w:highlight w:val="none"/>
          <w:lang w:val="en-US" w:eastAsia="zh-CN" w:bidi="zh-CN"/>
        </w:rPr>
        <w:t>于2023年8月10日获得衢州市生态环境局的审查意见（衢环龙建[2023]59号）。2023年10月23日本项目完成固定污染源排污登记，登记编号为：91330825MA29T9U880001W</w:t>
      </w:r>
      <w:r>
        <w:rPr>
          <w:rFonts w:hint="default" w:ascii="Times New Roman" w:hAnsi="Times New Roman" w:eastAsia="宋体" w:cs="Times New Roman"/>
          <w:color w:val="000000"/>
          <w:sz w:val="24"/>
          <w:szCs w:val="24"/>
          <w:highlight w:val="none"/>
          <w:lang w:val="en-US" w:eastAsia="zh-CN" w:bidi="zh-CN"/>
        </w:rPr>
        <w:t>。</w:t>
      </w:r>
    </w:p>
    <w:p w14:paraId="2885799B">
      <w:pPr>
        <w:keepNext w:val="0"/>
        <w:keepLines w:val="0"/>
        <w:pageBreakBefore w:val="0"/>
        <w:kinsoku/>
        <w:wordWrap/>
        <w:overflowPunct/>
        <w:topLinePunct w:val="0"/>
        <w:bidi w:val="0"/>
        <w:spacing w:line="370" w:lineRule="auto"/>
        <w:ind w:firstLine="480"/>
        <w:textAlignment w:val="auto"/>
        <w:rPr>
          <w:rFonts w:hint="default" w:ascii="Times New Roman" w:hAnsi="Times New Roman" w:eastAsia="宋体" w:cs="Times New Roman"/>
          <w:color w:val="000000"/>
          <w:sz w:val="24"/>
          <w:szCs w:val="24"/>
          <w:highlight w:val="none"/>
          <w:lang w:val="en-US" w:eastAsia="zh-CN" w:bidi="zh-CN"/>
        </w:rPr>
      </w:pPr>
      <w:r>
        <w:rPr>
          <w:rFonts w:hint="default" w:ascii="Times New Roman" w:hAnsi="Times New Roman" w:eastAsia="宋体" w:cs="Times New Roman"/>
          <w:color w:val="000000"/>
          <w:sz w:val="24"/>
          <w:szCs w:val="24"/>
          <w:highlight w:val="none"/>
          <w:lang w:val="en-US" w:eastAsia="zh-CN" w:bidi="zh-CN"/>
        </w:rPr>
        <w:t>2025年</w:t>
      </w:r>
      <w:r>
        <w:rPr>
          <w:rFonts w:hint="eastAsia" w:ascii="Times New Roman" w:hAnsi="Times New Roman" w:cs="Times New Roman"/>
          <w:color w:val="000000"/>
          <w:sz w:val="24"/>
          <w:szCs w:val="24"/>
          <w:highlight w:val="none"/>
          <w:lang w:val="en-US" w:eastAsia="zh-CN" w:bidi="zh-CN"/>
        </w:rPr>
        <w:t>11</w:t>
      </w:r>
      <w:r>
        <w:rPr>
          <w:rFonts w:hint="default" w:ascii="Times New Roman" w:hAnsi="Times New Roman" w:eastAsia="宋体" w:cs="Times New Roman"/>
          <w:color w:val="000000"/>
          <w:sz w:val="24"/>
          <w:szCs w:val="24"/>
          <w:highlight w:val="none"/>
          <w:lang w:val="en-US" w:eastAsia="zh-CN" w:bidi="zh-CN"/>
        </w:rPr>
        <w:t>月，建设单位委托浙江高鑫安全检测科技有限公司对该项目进行了竣工环境保护设施验收监测，企业在此基础上编制了该项目的竣工环境保护验收监测报告。</w:t>
      </w:r>
    </w:p>
    <w:p w14:paraId="77F6E7E0">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（三）投资情况</w:t>
      </w:r>
    </w:p>
    <w:p w14:paraId="65B72052">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rPr>
        <w:t>项目</w:t>
      </w:r>
      <w:r>
        <w:rPr>
          <w:rFonts w:hint="default" w:ascii="Times New Roman" w:hAnsi="Times New Roman" w:eastAsia="宋体" w:cs="Times New Roman"/>
          <w:color w:val="auto"/>
          <w:sz w:val="24"/>
          <w:szCs w:val="24"/>
          <w:lang w:val="en-US" w:eastAsia="zh-CN"/>
        </w:rPr>
        <w:t>预计</w:t>
      </w:r>
      <w:r>
        <w:rPr>
          <w:rFonts w:hint="default" w:ascii="Times New Roman" w:hAnsi="Times New Roman" w:eastAsia="宋体" w:cs="Times New Roman"/>
          <w:color w:val="auto"/>
          <w:sz w:val="24"/>
          <w:szCs w:val="24"/>
          <w:lang w:val="en-US"/>
        </w:rPr>
        <w:t>总投资</w:t>
      </w:r>
      <w:r>
        <w:rPr>
          <w:rFonts w:hint="eastAsia" w:ascii="Times New Roman" w:hAnsi="Times New Roman" w:cs="Times New Roman"/>
          <w:color w:val="auto"/>
          <w:sz w:val="24"/>
          <w:szCs w:val="24"/>
          <w:lang w:val="en-US" w:eastAsia="zh-CN"/>
        </w:rPr>
        <w:t>160</w:t>
      </w:r>
      <w:r>
        <w:rPr>
          <w:rFonts w:hint="default" w:ascii="Times New Roman" w:hAnsi="Times New Roman" w:eastAsia="宋体" w:cs="Times New Roman"/>
          <w:color w:val="auto"/>
          <w:sz w:val="24"/>
          <w:szCs w:val="24"/>
          <w:lang w:val="en-US"/>
        </w:rPr>
        <w:t>万元，环保投资</w:t>
      </w:r>
      <w:r>
        <w:rPr>
          <w:rFonts w:hint="eastAsia" w:ascii="Times New Roman" w:hAnsi="Times New Roman" w:cs="Times New Roman"/>
          <w:color w:val="auto"/>
          <w:sz w:val="24"/>
          <w:szCs w:val="24"/>
          <w:lang w:val="en-US" w:eastAsia="zh-CN"/>
        </w:rPr>
        <w:t>40</w:t>
      </w:r>
      <w:r>
        <w:rPr>
          <w:rFonts w:hint="default" w:ascii="Times New Roman" w:hAnsi="Times New Roman" w:eastAsia="宋体" w:cs="Times New Roman"/>
          <w:color w:val="auto"/>
          <w:sz w:val="24"/>
          <w:szCs w:val="24"/>
          <w:lang w:val="en-US"/>
        </w:rPr>
        <w:t>万元</w:t>
      </w:r>
      <w:r>
        <w:rPr>
          <w:rFonts w:hint="default" w:ascii="Times New Roman" w:hAnsi="Times New Roman" w:eastAsia="宋体" w:cs="Times New Roman"/>
          <w:color w:val="auto"/>
          <w:sz w:val="24"/>
          <w:szCs w:val="24"/>
        </w:rPr>
        <w:t>，占总投资</w:t>
      </w:r>
      <w:r>
        <w:rPr>
          <w:rFonts w:hint="eastAsia" w:ascii="Times New Roman" w:hAnsi="Times New Roman" w:cs="Times New Roman"/>
          <w:color w:val="auto"/>
          <w:sz w:val="24"/>
          <w:szCs w:val="24"/>
          <w:lang w:val="en-US" w:eastAsia="zh-CN"/>
        </w:rPr>
        <w:t>25.0</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项目实际总投资</w:t>
      </w:r>
      <w:r>
        <w:rPr>
          <w:rFonts w:hint="eastAsia" w:ascii="Times New Roman" w:hAnsi="Times New Roman" w:cs="Times New Roman"/>
          <w:color w:val="auto"/>
          <w:sz w:val="24"/>
          <w:szCs w:val="24"/>
          <w:lang w:val="en-US" w:eastAsia="zh-CN"/>
        </w:rPr>
        <w:t>150</w:t>
      </w:r>
      <w:r>
        <w:rPr>
          <w:rFonts w:hint="default" w:ascii="Times New Roman" w:hAnsi="Times New Roman" w:eastAsia="宋体" w:cs="Times New Roman"/>
          <w:color w:val="auto"/>
          <w:sz w:val="24"/>
          <w:szCs w:val="24"/>
          <w:lang w:val="en-US" w:eastAsia="zh-CN"/>
        </w:rPr>
        <w:t>万元，环保投资</w:t>
      </w:r>
      <w:r>
        <w:rPr>
          <w:rFonts w:hint="eastAsia" w:ascii="Times New Roman" w:hAnsi="Times New Roman" w:cs="Times New Roman"/>
          <w:color w:val="auto"/>
          <w:sz w:val="24"/>
          <w:szCs w:val="24"/>
          <w:lang w:val="en-US" w:eastAsia="zh-CN"/>
        </w:rPr>
        <w:t>40</w:t>
      </w:r>
      <w:r>
        <w:rPr>
          <w:rFonts w:hint="default" w:ascii="Times New Roman" w:hAnsi="Times New Roman" w:eastAsia="宋体" w:cs="Times New Roman"/>
          <w:color w:val="auto"/>
          <w:sz w:val="24"/>
          <w:szCs w:val="24"/>
          <w:lang w:val="en-US" w:eastAsia="zh-CN"/>
        </w:rPr>
        <w:t>万元，</w:t>
      </w:r>
      <w:r>
        <w:rPr>
          <w:rFonts w:hint="default" w:ascii="Times New Roman" w:hAnsi="Times New Roman" w:eastAsia="宋体" w:cs="Times New Roman"/>
          <w:color w:val="auto"/>
          <w:sz w:val="24"/>
          <w:szCs w:val="24"/>
        </w:rPr>
        <w:t>占总投资</w:t>
      </w:r>
      <w:r>
        <w:rPr>
          <w:rFonts w:hint="eastAsia" w:ascii="Times New Roman" w:hAnsi="Times New Roman" w:cs="Times New Roman"/>
          <w:color w:val="auto"/>
          <w:sz w:val="24"/>
          <w:szCs w:val="24"/>
          <w:lang w:val="en-US" w:eastAsia="zh-CN"/>
        </w:rPr>
        <w:t>26.7</w:t>
      </w:r>
      <w:r>
        <w:rPr>
          <w:rFonts w:hint="default" w:ascii="Times New Roman" w:hAnsi="Times New Roman" w:eastAsia="宋体" w:cs="Times New Roman"/>
          <w:color w:val="auto"/>
          <w:sz w:val="24"/>
          <w:szCs w:val="24"/>
          <w:lang w:val="en-US" w:eastAsia="zh-CN"/>
        </w:rPr>
        <w:t>%。</w:t>
      </w:r>
    </w:p>
    <w:p w14:paraId="2BEEAD89">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（四）验收范围</w:t>
      </w:r>
    </w:p>
    <w:p w14:paraId="787C90DD">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rPr>
        <w:t>本次</w:t>
      </w:r>
      <w:r>
        <w:rPr>
          <w:rFonts w:hint="default" w:ascii="Times New Roman" w:hAnsi="Times New Roman" w:eastAsia="宋体" w:cs="Times New Roman"/>
          <w:color w:val="auto"/>
          <w:kern w:val="0"/>
          <w:sz w:val="24"/>
          <w:szCs w:val="24"/>
        </w:rPr>
        <w:t>验收范围为</w:t>
      </w:r>
      <w:r>
        <w:rPr>
          <w:rFonts w:hint="default" w:ascii="Times New Roman" w:hAnsi="Times New Roman" w:eastAsia="宋体" w:cs="Times New Roman"/>
          <w:color w:val="auto"/>
          <w:kern w:val="0"/>
          <w:sz w:val="24"/>
          <w:szCs w:val="24"/>
          <w:lang w:val="en-US" w:eastAsia="zh-CN"/>
        </w:rPr>
        <w:t>衢环龙建[2023]59号</w:t>
      </w:r>
      <w:r>
        <w:rPr>
          <w:rFonts w:hint="default" w:ascii="Times New Roman" w:hAnsi="Times New Roman" w:eastAsia="宋体" w:cs="Times New Roman"/>
          <w:color w:val="auto"/>
          <w:kern w:val="0"/>
          <w:sz w:val="24"/>
          <w:szCs w:val="24"/>
        </w:rPr>
        <w:t>审批规模中企业目前实际已建成的“</w:t>
      </w:r>
      <w:r>
        <w:rPr>
          <w:rFonts w:hint="default" w:ascii="Times New Roman" w:hAnsi="Times New Roman" w:eastAsia="宋体" w:cs="Times New Roman"/>
          <w:color w:val="auto"/>
          <w:kern w:val="0"/>
          <w:sz w:val="24"/>
          <w:szCs w:val="24"/>
          <w:lang w:val="en-US" w:eastAsia="zh-CN"/>
        </w:rPr>
        <w:t>龙游锐鑫塑料制品有限公司年产3000万只塑料制品</w:t>
      </w:r>
      <w:r>
        <w:rPr>
          <w:rFonts w:hint="default" w:ascii="Times New Roman" w:hAnsi="Times New Roman" w:eastAsia="宋体" w:cs="Times New Roman"/>
          <w:color w:val="auto"/>
          <w:kern w:val="0"/>
          <w:sz w:val="24"/>
          <w:szCs w:val="24"/>
        </w:rPr>
        <w:t>”产能</w:t>
      </w:r>
      <w:r>
        <w:rPr>
          <w:rFonts w:hint="default" w:ascii="Times New Roman" w:hAnsi="Times New Roman" w:eastAsia="宋体" w:cs="Times New Roman"/>
          <w:color w:val="auto"/>
          <w:kern w:val="0"/>
          <w:sz w:val="24"/>
          <w:szCs w:val="24"/>
          <w:lang w:val="en-US"/>
        </w:rPr>
        <w:t>，本次验收为整体验收</w:t>
      </w:r>
      <w:r>
        <w:rPr>
          <w:rFonts w:hint="default" w:ascii="Times New Roman" w:hAnsi="Times New Roman" w:eastAsia="宋体" w:cs="Times New Roman"/>
          <w:color w:val="auto"/>
          <w:kern w:val="0"/>
          <w:sz w:val="24"/>
          <w:szCs w:val="24"/>
        </w:rPr>
        <w:t>。</w:t>
      </w:r>
    </w:p>
    <w:p w14:paraId="76A5DD09">
      <w:pPr>
        <w:keepNext w:val="0"/>
        <w:keepLines w:val="0"/>
        <w:pageBreakBefore w:val="0"/>
        <w:widowControl w:val="0"/>
        <w:kinsoku/>
        <w:wordWrap/>
        <w:overflowPunct/>
        <w:topLinePunct w:val="0"/>
        <w:bidi w:val="0"/>
        <w:snapToGrid w:val="0"/>
        <w:spacing w:line="370" w:lineRule="auto"/>
        <w:ind w:right="0" w:firstLine="482" w:firstLineChars="200"/>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二、工程变动情况</w:t>
      </w:r>
    </w:p>
    <w:p w14:paraId="5914F1E5">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highlight w:val="none"/>
        </w:rPr>
        <w:t>据现场踏勘和验收监测报告，</w:t>
      </w:r>
      <w:r>
        <w:rPr>
          <w:rFonts w:hint="default" w:ascii="Times New Roman" w:hAnsi="Times New Roman" w:eastAsia="宋体" w:cs="Times New Roman"/>
          <w:color w:val="000000"/>
          <w:sz w:val="24"/>
          <w:szCs w:val="24"/>
          <w:highlight w:val="none"/>
          <w:lang w:val="en-US" w:eastAsia="zh-CN"/>
        </w:rPr>
        <w:t>厂区平面布置发生变化，具体为：一般工业固体废物暂存场所位于生产车间西南侧，危险废物仓库位于生产车间东北侧</w:t>
      </w:r>
      <w:r>
        <w:rPr>
          <w:rFonts w:hint="eastAsia" w:ascii="Times New Roman" w:hAnsi="Times New Roman" w:eastAsia="宋体" w:cs="Times New Roman"/>
          <w:color w:val="000000"/>
          <w:sz w:val="24"/>
          <w:szCs w:val="24"/>
          <w:highlight w:val="none"/>
          <w:lang w:val="en-US" w:eastAsia="zh-CN"/>
        </w:rPr>
        <w:t>；实际生产设备种类与环评相比无变化，真空镀膜机相比环评减少一台，其余生产设备数量与环评一致。</w:t>
      </w:r>
      <w:r>
        <w:rPr>
          <w:rFonts w:hint="default" w:ascii="Times New Roman" w:hAnsi="Times New Roman" w:eastAsia="宋体" w:cs="Times New Roman"/>
          <w:color w:val="000000"/>
          <w:sz w:val="24"/>
          <w:szCs w:val="24"/>
          <w:highlight w:val="none"/>
          <w:lang w:val="en-US" w:eastAsia="zh-CN"/>
        </w:rPr>
        <w:t>厂区平面布置发生调整未导致环境防护距离范围变化且未新增敏感点，其余建设内容与环评一致，生产、处置或储存能力未超环评审批量，废气、噪声污染防治措施未发生变化，固体废物利用处置方式未发生变化，无重大变化</w:t>
      </w:r>
      <w:r>
        <w:rPr>
          <w:rFonts w:hint="eastAsia" w:ascii="Times New Roman" w:hAnsi="Times New Roman" w:eastAsia="宋体" w:cs="Times New Roman"/>
          <w:color w:val="000000"/>
          <w:sz w:val="24"/>
          <w:szCs w:val="24"/>
          <w:highlight w:val="none"/>
          <w:lang w:val="en-US" w:eastAsia="zh-CN"/>
        </w:rPr>
        <w:t>。</w:t>
      </w:r>
    </w:p>
    <w:p w14:paraId="78F076EB">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highlight w:val="none"/>
          <w:lang w:val="en-US" w:eastAsia="zh-CN"/>
        </w:rPr>
        <w:t>根据本项目竣工验收报告对照《污染影响类建设项目重大变动清单》（试行）》分析，上述各项目变动均不属于重大变动。</w:t>
      </w:r>
    </w:p>
    <w:p w14:paraId="066D04D2">
      <w:pPr>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highlight w:val="none"/>
          <w:lang w:val="en-US" w:eastAsia="zh-CN"/>
        </w:rPr>
        <w:br w:type="page"/>
      </w:r>
    </w:p>
    <w:p w14:paraId="047075C7">
      <w:pPr>
        <w:keepNext w:val="0"/>
        <w:keepLines w:val="0"/>
        <w:pageBreakBefore w:val="0"/>
        <w:widowControl w:val="0"/>
        <w:kinsoku/>
        <w:wordWrap/>
        <w:overflowPunct/>
        <w:topLinePunct w:val="0"/>
        <w:bidi w:val="0"/>
        <w:snapToGrid w:val="0"/>
        <w:spacing w:line="37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三、环境保护设施落实情况</w:t>
      </w:r>
    </w:p>
    <w:p w14:paraId="3733B45E">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zh-CN"/>
        </w:rPr>
        <w:t>一）废水</w:t>
      </w:r>
    </w:p>
    <w:p w14:paraId="51266CCF">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sz w:val="24"/>
          <w:szCs w:val="24"/>
          <w:lang w:bidi="zh-CN"/>
        </w:rPr>
      </w:pPr>
      <w:r>
        <w:rPr>
          <w:rFonts w:hint="default" w:ascii="Times New Roman" w:hAnsi="Times New Roman" w:cs="Times New Roman"/>
          <w:sz w:val="24"/>
          <w:lang w:val="en-US" w:eastAsia="zh-CN"/>
        </w:rPr>
        <w:t>厂区排水实行雨污分流；雨水收集后排入市政雨水管网；生活污水经</w:t>
      </w:r>
      <w:r>
        <w:rPr>
          <w:rFonts w:hint="eastAsia" w:ascii="Times New Roman" w:hAnsi="Times New Roman" w:cs="Times New Roman"/>
          <w:sz w:val="24"/>
          <w:lang w:val="en-US" w:eastAsia="zh-CN"/>
        </w:rPr>
        <w:t>出租方化粪池</w:t>
      </w:r>
      <w:r>
        <w:rPr>
          <w:rFonts w:hint="default" w:ascii="Times New Roman" w:hAnsi="Times New Roman" w:cs="Times New Roman"/>
          <w:sz w:val="24"/>
          <w:lang w:val="en-US" w:eastAsia="zh-CN"/>
        </w:rPr>
        <w:t>预处理后纳管，进入龙游县城北污水处理厂进一步处理，最终排入衢江；镀膜冷却用水循环使用，定期补充，不外排；混动气旋喷淋除尘塔用水循环使用，定期补充，定期更换，喷淋废液作为危险废物处理</w:t>
      </w:r>
      <w:r>
        <w:rPr>
          <w:rFonts w:hint="default" w:ascii="Times New Roman" w:hAnsi="Times New Roman" w:eastAsia="宋体" w:cs="Times New Roman"/>
          <w:color w:val="auto"/>
          <w:sz w:val="24"/>
          <w:szCs w:val="24"/>
          <w:lang w:bidi="zh-CN"/>
        </w:rPr>
        <w:t>。</w:t>
      </w:r>
    </w:p>
    <w:p w14:paraId="02F5D5FD">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（二）废气</w:t>
      </w:r>
    </w:p>
    <w:p w14:paraId="7762FE68">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sz w:val="24"/>
          <w:szCs w:val="24"/>
          <w:highlight w:val="none"/>
          <w:lang w:val="en-US" w:eastAsia="zh-CN"/>
        </w:rPr>
        <w:t>本项目废气有静电除尘粉尘、镀膜废气、火焰处理废气、清洁、PP处理废气、调配、清洁、喷漆、流平光固化废气</w:t>
      </w:r>
      <w:r>
        <w:rPr>
          <w:rFonts w:hint="default" w:ascii="Times New Roman" w:hAnsi="Times New Roman" w:eastAsia="宋体" w:cs="Times New Roman"/>
          <w:color w:val="auto"/>
          <w:sz w:val="24"/>
          <w:szCs w:val="24"/>
          <w:lang w:val="en-US" w:eastAsia="zh-CN"/>
        </w:rPr>
        <w:t>。</w:t>
      </w:r>
    </w:p>
    <w:p w14:paraId="75455CD3">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①静电除尘粉尘</w:t>
      </w:r>
      <w:r>
        <w:rPr>
          <w:rFonts w:hint="eastAsia" w:ascii="Times New Roman" w:hAnsi="Times New Roman" w:eastAsia="宋体" w:cs="Times New Roman"/>
          <w:sz w:val="24"/>
          <w:szCs w:val="24"/>
          <w:highlight w:val="none"/>
          <w:lang w:val="en-US" w:eastAsia="zh-CN"/>
        </w:rPr>
        <w:t>：增强车间通风，确保车间通风换气次数不低于6次</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小时；</w:t>
      </w:r>
      <w:r>
        <w:rPr>
          <w:rFonts w:hint="default" w:ascii="Times New Roman" w:hAnsi="Times New Roman" w:eastAsia="宋体" w:cs="Times New Roman"/>
          <w:sz w:val="24"/>
          <w:szCs w:val="24"/>
          <w:highlight w:val="none"/>
          <w:lang w:val="en-US" w:eastAsia="zh-CN"/>
        </w:rPr>
        <w:t>；</w:t>
      </w:r>
    </w:p>
    <w:p w14:paraId="4478CBC2">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②</w:t>
      </w:r>
      <w:r>
        <w:rPr>
          <w:rFonts w:hint="eastAsia" w:ascii="Times New Roman" w:hAnsi="Times New Roman" w:eastAsia="宋体" w:cs="Times New Roman"/>
          <w:sz w:val="24"/>
          <w:szCs w:val="24"/>
          <w:highlight w:val="none"/>
          <w:lang w:val="en-US" w:eastAsia="zh-CN"/>
        </w:rPr>
        <w:t>火焰处理废气：增强车间通风，确保车间通风换气次数不低于6次</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小时</w:t>
      </w:r>
      <w:r>
        <w:rPr>
          <w:rFonts w:hint="default" w:ascii="Times New Roman" w:hAnsi="Times New Roman" w:eastAsia="宋体" w:cs="Times New Roman"/>
          <w:sz w:val="24"/>
          <w:szCs w:val="24"/>
          <w:highlight w:val="none"/>
          <w:lang w:val="en-US" w:eastAsia="zh-CN"/>
        </w:rPr>
        <w:t>；</w:t>
      </w:r>
    </w:p>
    <w:p w14:paraId="6416A21C">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③</w:t>
      </w:r>
      <w:r>
        <w:rPr>
          <w:rFonts w:hint="eastAsia" w:ascii="Times New Roman" w:hAnsi="Times New Roman" w:eastAsia="宋体" w:cs="Times New Roman"/>
          <w:sz w:val="24"/>
          <w:szCs w:val="24"/>
          <w:highlight w:val="none"/>
          <w:lang w:val="en-US" w:eastAsia="zh-CN"/>
        </w:rPr>
        <w:t>镀膜废气：增强车间通风，确保车间通风换气次数不低于6次</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小时</w:t>
      </w:r>
      <w:r>
        <w:rPr>
          <w:rFonts w:hint="default" w:ascii="Times New Roman" w:hAnsi="Times New Roman" w:eastAsia="宋体" w:cs="Times New Roman"/>
          <w:sz w:val="24"/>
          <w:szCs w:val="24"/>
          <w:highlight w:val="none"/>
          <w:lang w:val="en-US" w:eastAsia="zh-CN"/>
        </w:rPr>
        <w:t>；</w:t>
      </w:r>
    </w:p>
    <w:p w14:paraId="670EA489">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④清洁、PP 处理废气：整体微负压收集后，经过混动气旋喷淋除尘塔除水除雾后再通过二级活性炭吸附处理，最后各经20m高排气筒DA001、DA002排放</w:t>
      </w:r>
      <w:r>
        <w:rPr>
          <w:rFonts w:hint="eastAsia" w:ascii="Times New Roman" w:hAnsi="Times New Roman" w:eastAsia="宋体" w:cs="Times New Roman"/>
          <w:sz w:val="24"/>
          <w:szCs w:val="24"/>
          <w:highlight w:val="none"/>
          <w:lang w:val="en-US" w:eastAsia="zh-CN"/>
        </w:rPr>
        <w:t>；</w:t>
      </w:r>
    </w:p>
    <w:p w14:paraId="31E4F731">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⑤调配、清洁、喷漆、流平光固化废气：微负压整体收集后各通过微气旋设备回收漆雾后，再通过二级活性炭吸附处理，最后各经20m高排气筒DA003、DA004排放。</w:t>
      </w:r>
    </w:p>
    <w:p w14:paraId="7252483F">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22"/>
          <w:sz w:val="24"/>
          <w:szCs w:val="24"/>
          <w:lang w:val="zh-CN"/>
        </w:rPr>
      </w:pPr>
      <w:r>
        <w:rPr>
          <w:rFonts w:hint="default" w:ascii="Times New Roman" w:hAnsi="Times New Roman" w:eastAsia="宋体" w:cs="Times New Roman"/>
          <w:color w:val="auto"/>
          <w:kern w:val="22"/>
          <w:sz w:val="24"/>
          <w:szCs w:val="24"/>
          <w:lang w:val="zh-CN"/>
        </w:rPr>
        <w:t>（三）噪声</w:t>
      </w:r>
    </w:p>
    <w:p w14:paraId="1B4793B1">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本项目车间内对高噪声设备采取防震、降噪措施；选用低噪声设备；平时加强设备的维护，确保设备处于良好的运转状态，杜绝因设备不正常运转时产生的高噪声现象，厂界设置绿化带。</w:t>
      </w:r>
    </w:p>
    <w:p w14:paraId="3DACEF2B">
      <w:pPr>
        <w:pStyle w:val="20"/>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（四）固体废物</w:t>
      </w:r>
    </w:p>
    <w:p w14:paraId="18A10A4E">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项目实际产生固废主要为废UV面漆包装桶、废抹布、漆渣、喷淋废液、废过滤棉、废油漆、废填料、废活性炭、一般废包装材料</w:t>
      </w:r>
      <w:r>
        <w:rPr>
          <w:rFonts w:hint="eastAsia" w:ascii="Times New Roman" w:hAnsi="Times New Roman" w:cs="Times New Roman"/>
          <w:color w:val="auto"/>
          <w:kern w:val="0"/>
          <w:sz w:val="24"/>
          <w:szCs w:val="24"/>
          <w:lang w:val="en-US" w:eastAsia="zh-CN"/>
        </w:rPr>
        <w:t>、</w:t>
      </w:r>
      <w:r>
        <w:rPr>
          <w:rFonts w:hint="default" w:ascii="Times New Roman" w:hAnsi="Times New Roman" w:eastAsia="宋体" w:cs="Times New Roman"/>
          <w:color w:val="auto"/>
          <w:kern w:val="0"/>
          <w:sz w:val="24"/>
          <w:szCs w:val="24"/>
          <w:lang w:val="en-US" w:eastAsia="zh-CN"/>
        </w:rPr>
        <w:t>不合格品以及生活垃圾。</w:t>
      </w:r>
    </w:p>
    <w:p w14:paraId="49A1B7D5">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危险固废：设置危险固废暂存间，位于生产车间东北侧（占地30m</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），废UV面漆包装桶、废抹布、漆渣、喷淋废液、废过滤棉、废油漆、废填料、废活性炭分类收集后委托兰溪自立环保科技有限公司进行处置。</w:t>
      </w:r>
    </w:p>
    <w:p w14:paraId="7C89F78C">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一般固废：设置一般固废仓库，位于生产车间西南侧，</w:t>
      </w:r>
      <w:r>
        <w:rPr>
          <w:rFonts w:hint="eastAsia" w:ascii="Times New Roman" w:hAnsi="Times New Roman" w:eastAsia="宋体" w:cs="Times New Roman"/>
          <w:color w:val="auto"/>
          <w:kern w:val="0"/>
          <w:sz w:val="24"/>
          <w:szCs w:val="24"/>
          <w:lang w:val="en-US" w:eastAsia="zh-CN"/>
        </w:rPr>
        <w:t>一般废包装材料、不合格品等</w:t>
      </w:r>
      <w:r>
        <w:rPr>
          <w:rFonts w:hint="default" w:ascii="Times New Roman" w:hAnsi="Times New Roman" w:eastAsia="宋体" w:cs="Times New Roman"/>
          <w:color w:val="auto"/>
          <w:kern w:val="0"/>
          <w:sz w:val="24"/>
          <w:szCs w:val="24"/>
          <w:lang w:val="en-US" w:eastAsia="zh-CN"/>
        </w:rPr>
        <w:t>一般固废定期外售给物资单位。生活垃圾：委托环卫部门处置。</w:t>
      </w:r>
    </w:p>
    <w:p w14:paraId="1E85F3C8">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（五）其他</w:t>
      </w:r>
    </w:p>
    <w:p w14:paraId="432EB428">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1、在线监测装置</w:t>
      </w:r>
    </w:p>
    <w:p w14:paraId="2474F993">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color w:val="auto"/>
          <w:kern w:val="0"/>
          <w:sz w:val="24"/>
          <w:szCs w:val="24"/>
          <w:lang w:val="en-US" w:eastAsia="zh-CN"/>
        </w:rPr>
        <w:t>项目不涉及在</w:t>
      </w:r>
      <w:r>
        <w:rPr>
          <w:rFonts w:hint="default" w:ascii="Times New Roman" w:hAnsi="Times New Roman" w:eastAsia="宋体" w:cs="Times New Roman"/>
          <w:color w:val="auto"/>
          <w:kern w:val="0"/>
          <w:sz w:val="24"/>
          <w:szCs w:val="24"/>
          <w:lang w:val="en-US" w:eastAsia="zh-CN"/>
        </w:rPr>
        <w:t>线监测装置。</w:t>
      </w:r>
    </w:p>
    <w:p w14:paraId="68AE4364">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2、环境防护距离</w:t>
      </w:r>
    </w:p>
    <w:p w14:paraId="192F0551">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根据环评及环评批复，无大气环境防护距离</w:t>
      </w:r>
      <w:r>
        <w:rPr>
          <w:rFonts w:hint="eastAsia" w:ascii="Times New Roman" w:hAnsi="Times New Roman" w:eastAsia="宋体" w:cs="Times New Roman"/>
          <w:color w:val="auto"/>
          <w:kern w:val="0"/>
          <w:sz w:val="24"/>
          <w:szCs w:val="24"/>
          <w:lang w:val="en-US" w:eastAsia="zh-CN"/>
        </w:rPr>
        <w:t>要求</w:t>
      </w:r>
      <w:r>
        <w:rPr>
          <w:rFonts w:hint="default" w:ascii="Times New Roman" w:hAnsi="Times New Roman" w:eastAsia="宋体" w:cs="Times New Roman"/>
          <w:color w:val="auto"/>
          <w:kern w:val="0"/>
          <w:sz w:val="24"/>
          <w:szCs w:val="24"/>
          <w:lang w:val="en-US" w:eastAsia="zh-CN"/>
        </w:rPr>
        <w:t>。</w:t>
      </w:r>
    </w:p>
    <w:p w14:paraId="0D182496">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3、其他</w:t>
      </w:r>
    </w:p>
    <w:p w14:paraId="3DE742FD">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企业已建有环境保护领导小组，负责环境保护管理工作；配备了环保专职人员，专职负责对公司环保设施的运行和维护；公司已制定了各类环保管理制度。</w:t>
      </w:r>
    </w:p>
    <w:p w14:paraId="5A52AEB1">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①厂区内地面采用混凝土硬化，防止工艺过程及产品装卸过程跑、冒、滴、漏的物料渗入土壤，进而对地下水环境造成污染；</w:t>
      </w:r>
    </w:p>
    <w:p w14:paraId="6661AA78">
      <w:pPr>
        <w:keepNext w:val="0"/>
        <w:keepLines w:val="0"/>
        <w:pageBreakBefore w:val="0"/>
        <w:widowControl w:val="0"/>
        <w:kinsoku/>
        <w:wordWrap/>
        <w:overflowPunct/>
        <w:topLinePunct w:val="0"/>
        <w:bidi w:val="0"/>
        <w:snapToGrid w:val="0"/>
        <w:spacing w:line="370" w:lineRule="auto"/>
        <w:ind w:right="0" w:firstLine="480"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color w:val="auto"/>
          <w:kern w:val="0"/>
          <w:sz w:val="24"/>
          <w:szCs w:val="24"/>
          <w:lang w:val="en-US" w:eastAsia="zh-CN"/>
        </w:rPr>
        <w:t>②对污水收集管沟、污水收集池、危险废物、罐区等进行重点防渗，对生产车间、仓库等进行一般防渗区，其他区域进行简单防渗。</w:t>
      </w:r>
    </w:p>
    <w:p w14:paraId="36921E1F">
      <w:pPr>
        <w:keepNext w:val="0"/>
        <w:keepLines w:val="0"/>
        <w:pageBreakBefore w:val="0"/>
        <w:widowControl w:val="0"/>
        <w:kinsoku/>
        <w:wordWrap/>
        <w:overflowPunct/>
        <w:topLinePunct w:val="0"/>
        <w:bidi w:val="0"/>
        <w:snapToGrid w:val="0"/>
        <w:spacing w:line="37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四、环境保护设施调试效果</w:t>
      </w:r>
    </w:p>
    <w:p w14:paraId="6EF5A391">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浙江高鑫安全检测科技有限公司对该项目进行了环境保护验收监测，监测报告编号为高鑫（验）字</w:t>
      </w:r>
      <w:r>
        <w:rPr>
          <w:rFonts w:hint="default" w:ascii="Times New Roman" w:hAnsi="Times New Roman" w:eastAsia="宋体" w:cs="Times New Roman"/>
          <w:color w:val="auto"/>
          <w:kern w:val="0"/>
          <w:sz w:val="24"/>
          <w:szCs w:val="24"/>
          <w:lang w:eastAsia="zh-CN"/>
        </w:rPr>
        <w:t>2025</w:t>
      </w:r>
      <w:r>
        <w:rPr>
          <w:rFonts w:hint="eastAsia" w:ascii="Times New Roman" w:hAnsi="Times New Roman" w:cs="Times New Roman"/>
          <w:color w:val="auto"/>
          <w:kern w:val="0"/>
          <w:sz w:val="24"/>
          <w:szCs w:val="24"/>
          <w:lang w:val="en-US" w:eastAsia="zh-CN"/>
        </w:rPr>
        <w:t>1107</w:t>
      </w:r>
      <w:r>
        <w:rPr>
          <w:rFonts w:hint="default" w:ascii="Times New Roman" w:hAnsi="Times New Roman" w:eastAsia="宋体" w:cs="Times New Roman"/>
          <w:color w:val="auto"/>
          <w:kern w:val="0"/>
          <w:sz w:val="24"/>
          <w:szCs w:val="24"/>
        </w:rPr>
        <w:t>号。验收监测期间，该项目生产工况正常，符合竣工验收工况负荷要求（验收期间生产工况负荷大于75%）。各类污染物及噪声排放的监测结果如下：</w:t>
      </w:r>
    </w:p>
    <w:p w14:paraId="0D0EA6D1">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（一）环保设施去除效率</w:t>
      </w:r>
    </w:p>
    <w:p w14:paraId="7892EF1D">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1、</w:t>
      </w:r>
      <w:r>
        <w:rPr>
          <w:rFonts w:hint="default" w:ascii="Times New Roman" w:hAnsi="Times New Roman" w:eastAsia="宋体" w:cs="Times New Roman"/>
          <w:color w:val="auto"/>
          <w:kern w:val="0"/>
          <w:sz w:val="24"/>
          <w:szCs w:val="24"/>
          <w:lang w:val="en-US" w:eastAsia="zh-CN"/>
        </w:rPr>
        <w:t>废气</w:t>
      </w:r>
    </w:p>
    <w:p w14:paraId="067BD4A5">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本项目北侧清洁、PP处理废气处理设施DA001VOC</w:t>
      </w:r>
      <w:r>
        <w:rPr>
          <w:rFonts w:hint="default" w:ascii="Times New Roman" w:hAnsi="Times New Roman" w:eastAsia="宋体" w:cs="Times New Roman"/>
          <w:color w:val="auto"/>
          <w:kern w:val="0"/>
          <w:sz w:val="24"/>
          <w:szCs w:val="24"/>
          <w:vertAlign w:val="subscript"/>
          <w:lang w:val="en-US" w:eastAsia="zh-CN"/>
        </w:rPr>
        <w:t>S</w:t>
      </w:r>
      <w:r>
        <w:rPr>
          <w:rFonts w:hint="default" w:ascii="Times New Roman" w:hAnsi="Times New Roman" w:eastAsia="宋体" w:cs="Times New Roman"/>
          <w:color w:val="auto"/>
          <w:kern w:val="0"/>
          <w:sz w:val="24"/>
          <w:szCs w:val="24"/>
          <w:lang w:val="en-US" w:eastAsia="zh-CN"/>
        </w:rPr>
        <w:t>两天的去除率分别为38.2%和42.0%；</w:t>
      </w:r>
    </w:p>
    <w:p w14:paraId="198CB2E0">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本项目南侧清洁、PP处理废气处理设施DA002VOC</w:t>
      </w:r>
      <w:r>
        <w:rPr>
          <w:rFonts w:hint="default" w:ascii="Times New Roman" w:hAnsi="Times New Roman" w:eastAsia="宋体" w:cs="Times New Roman"/>
          <w:color w:val="auto"/>
          <w:kern w:val="0"/>
          <w:sz w:val="24"/>
          <w:szCs w:val="24"/>
          <w:vertAlign w:val="subscript"/>
          <w:lang w:val="en-US" w:eastAsia="zh-CN"/>
        </w:rPr>
        <w:t>S</w:t>
      </w:r>
      <w:r>
        <w:rPr>
          <w:rFonts w:hint="default" w:ascii="Times New Roman" w:hAnsi="Times New Roman" w:eastAsia="宋体" w:cs="Times New Roman"/>
          <w:color w:val="auto"/>
          <w:kern w:val="0"/>
          <w:sz w:val="24"/>
          <w:szCs w:val="24"/>
          <w:lang w:val="en-US" w:eastAsia="zh-CN"/>
        </w:rPr>
        <w:t>两天的去除率分别为53.6%和46.4%；</w:t>
      </w:r>
    </w:p>
    <w:p w14:paraId="0AEC35B1">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本项目北侧调配、清洁、喷漆、流平光固化废气处理设施DA003VOC</w:t>
      </w:r>
      <w:r>
        <w:rPr>
          <w:rFonts w:hint="default" w:ascii="Times New Roman" w:hAnsi="Times New Roman" w:eastAsia="宋体" w:cs="Times New Roman"/>
          <w:color w:val="auto"/>
          <w:kern w:val="0"/>
          <w:sz w:val="24"/>
          <w:szCs w:val="24"/>
          <w:vertAlign w:val="subscript"/>
          <w:lang w:val="en-US" w:eastAsia="zh-CN"/>
        </w:rPr>
        <w:t>S</w:t>
      </w:r>
      <w:r>
        <w:rPr>
          <w:rFonts w:hint="default" w:ascii="Times New Roman" w:hAnsi="Times New Roman" w:eastAsia="宋体" w:cs="Times New Roman"/>
          <w:color w:val="auto"/>
          <w:kern w:val="0"/>
          <w:sz w:val="24"/>
          <w:szCs w:val="24"/>
          <w:lang w:val="en-US" w:eastAsia="zh-CN"/>
        </w:rPr>
        <w:t>两天的去除率分别为62.7%和61.8%；</w:t>
      </w:r>
    </w:p>
    <w:p w14:paraId="4927941F">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本项目侧调配、清洁、喷漆、流平光固化废气处理设施DA004VOC</w:t>
      </w:r>
      <w:r>
        <w:rPr>
          <w:rFonts w:hint="default" w:ascii="Times New Roman" w:hAnsi="Times New Roman" w:eastAsia="宋体" w:cs="Times New Roman"/>
          <w:color w:val="auto"/>
          <w:kern w:val="0"/>
          <w:sz w:val="24"/>
          <w:szCs w:val="24"/>
          <w:vertAlign w:val="subscript"/>
          <w:lang w:val="en-US" w:eastAsia="zh-CN"/>
        </w:rPr>
        <w:t>S</w:t>
      </w:r>
      <w:r>
        <w:rPr>
          <w:rFonts w:hint="default" w:ascii="Times New Roman" w:hAnsi="Times New Roman" w:eastAsia="宋体" w:cs="Times New Roman"/>
          <w:color w:val="auto"/>
          <w:kern w:val="0"/>
          <w:sz w:val="24"/>
          <w:szCs w:val="24"/>
          <w:lang w:val="en-US" w:eastAsia="zh-CN"/>
        </w:rPr>
        <w:t>两天的去除率分别为44.3%和33.8%。</w:t>
      </w:r>
    </w:p>
    <w:p w14:paraId="51C71F6F">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二</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污染物排放情况</w:t>
      </w:r>
    </w:p>
    <w:p w14:paraId="27686886">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1、废水</w:t>
      </w:r>
    </w:p>
    <w:p w14:paraId="566F3A29">
      <w:pPr>
        <w:keepNext w:val="0"/>
        <w:keepLines w:val="0"/>
        <w:pageBreakBefore w:val="0"/>
        <w:kinsoku/>
        <w:wordWrap/>
        <w:overflowPunct/>
        <w:topLinePunct w:val="0"/>
        <w:bidi w:val="0"/>
        <w:spacing w:line="370" w:lineRule="auto"/>
        <w:ind w:firstLine="480" w:firstLineChars="200"/>
        <w:textAlignment w:val="auto"/>
        <w:outlineLvl w:val="9"/>
        <w:rPr>
          <w:rFonts w:hint="default" w:ascii="Times New Roman" w:hAnsi="Times New Roman" w:eastAsia="宋体" w:cs="Times New Roman"/>
          <w:color w:val="auto"/>
          <w:kern w:val="0"/>
          <w:sz w:val="24"/>
          <w:szCs w:val="24"/>
        </w:rPr>
      </w:pPr>
      <w:r>
        <w:rPr>
          <w:rFonts w:hint="eastAsia" w:ascii="Times New Roman" w:hAnsi="Times New Roman" w:cs="Times New Roman"/>
          <w:sz w:val="24"/>
          <w:szCs w:val="24"/>
          <w:highlight w:val="none"/>
          <w:lang w:val="en-US" w:eastAsia="zh-CN"/>
        </w:rPr>
        <w:t>验收监测期间，污水总排放口（DW001-2）的废水</w:t>
      </w:r>
      <w:r>
        <w:rPr>
          <w:rFonts w:hint="default" w:ascii="Times New Roman" w:hAnsi="Times New Roman" w:cs="Times New Roman"/>
          <w:sz w:val="24"/>
          <w:szCs w:val="24"/>
          <w:highlight w:val="none"/>
          <w:lang w:val="en-US" w:eastAsia="zh-CN"/>
        </w:rPr>
        <w:t>pH范围为</w:t>
      </w:r>
      <w:r>
        <w:rPr>
          <w:rFonts w:hint="eastAsia" w:ascii="Times New Roman" w:hAnsi="Times New Roman" w:cs="Times New Roman"/>
          <w:sz w:val="24"/>
          <w:szCs w:val="24"/>
          <w:highlight w:val="none"/>
          <w:lang w:val="en-US" w:eastAsia="zh-CN"/>
        </w:rPr>
        <w:t>7.3-7.4</w:t>
      </w:r>
      <w:r>
        <w:rPr>
          <w:rFonts w:hint="default" w:ascii="Times New Roman" w:hAnsi="Times New Roman" w:cs="Times New Roman"/>
          <w:sz w:val="24"/>
          <w:szCs w:val="24"/>
          <w:highlight w:val="none"/>
          <w:lang w:val="en-US" w:eastAsia="zh-CN"/>
        </w:rPr>
        <w:t>，其他污染物最大浓度分别为：</w:t>
      </w:r>
      <w:r>
        <w:rPr>
          <w:rFonts w:hint="eastAsia" w:ascii="Times New Roman" w:hAnsi="Times New Roman" w:cs="Times New Roman"/>
          <w:sz w:val="24"/>
          <w:szCs w:val="24"/>
          <w:highlight w:val="none"/>
        </w:rPr>
        <w:t>悬浮物</w:t>
      </w:r>
      <w:r>
        <w:rPr>
          <w:rFonts w:hint="eastAsia" w:ascii="Times New Roman" w:hAnsi="Times New Roman" w:cs="Times New Roman"/>
          <w:sz w:val="24"/>
          <w:szCs w:val="24"/>
          <w:highlight w:val="none"/>
          <w:lang w:val="en-US" w:eastAsia="zh-CN"/>
        </w:rPr>
        <w:t>327</w:t>
      </w:r>
      <w:r>
        <w:rPr>
          <w:rFonts w:hint="eastAsia" w:ascii="Times New Roman" w:hAnsi="Times New Roman" w:cs="Times New Roman"/>
          <w:sz w:val="24"/>
          <w:szCs w:val="24"/>
          <w:highlight w:val="none"/>
        </w:rPr>
        <w:t>mg/L、化学需氧量</w:t>
      </w:r>
      <w:r>
        <w:rPr>
          <w:rFonts w:hint="eastAsia" w:ascii="Times New Roman" w:hAnsi="Times New Roman" w:cs="Times New Roman"/>
          <w:sz w:val="24"/>
          <w:szCs w:val="24"/>
          <w:highlight w:val="none"/>
          <w:lang w:val="en-US" w:eastAsia="zh-CN"/>
        </w:rPr>
        <w:t>248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、动植物油类0.32mg/L、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30.2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总磷3.42mg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五日生化需氧量132mg/L</w:t>
      </w:r>
      <w:r>
        <w:rPr>
          <w:rFonts w:hint="default" w:ascii="Times New Roman" w:hAnsi="Times New Roman" w:cs="Times New Roman"/>
          <w:sz w:val="24"/>
          <w:szCs w:val="24"/>
          <w:highlight w:val="none"/>
          <w:lang w:val="en-US" w:eastAsia="zh-CN"/>
        </w:rPr>
        <w:t>；其中</w:t>
      </w:r>
      <w:r>
        <w:rPr>
          <w:rFonts w:hint="eastAsia" w:ascii="Times New Roman" w:hAnsi="Times New Roman" w:cs="Times New Roman"/>
          <w:sz w:val="24"/>
          <w:szCs w:val="24"/>
          <w:highlight w:val="none"/>
        </w:rPr>
        <w:t>pH、悬浮物、</w:t>
      </w:r>
      <w:r>
        <w:rPr>
          <w:rFonts w:hint="eastAsia" w:ascii="Times New Roman" w:hAnsi="Times New Roman" w:cs="Times New Roman"/>
          <w:sz w:val="24"/>
          <w:szCs w:val="24"/>
          <w:highlight w:val="none"/>
          <w:lang w:val="en-US" w:eastAsia="zh-CN"/>
        </w:rPr>
        <w:t>化学需氧量、动植物油类、五日生化需氧量</w:t>
      </w:r>
      <w:r>
        <w:rPr>
          <w:rFonts w:hint="eastAsia" w:ascii="Times New Roman" w:hAnsi="Times New Roman" w:cs="Times New Roman"/>
          <w:sz w:val="24"/>
          <w:szCs w:val="24"/>
          <w:highlight w:val="none"/>
        </w:rPr>
        <w:t>符合《污水综合排放标准》（GB 8</w:t>
      </w:r>
      <w:r>
        <w:rPr>
          <w:rFonts w:hint="eastAsia" w:ascii="Times New Roman" w:hAnsi="Times New Roman" w:cs="Times New Roman"/>
          <w:sz w:val="24"/>
          <w:szCs w:val="24"/>
          <w:highlight w:val="none"/>
          <w:lang w:val="en-US" w:eastAsia="zh-CN"/>
        </w:rPr>
        <w:t>978-1996）表4三级标准；氨氮、总磷符合《工业企业废水氮、磷污染物间接排放限值》（DB33/ 887-2013）表1中其他企业的排放限值</w:t>
      </w:r>
      <w:r>
        <w:rPr>
          <w:rFonts w:hint="default" w:ascii="Times New Roman" w:hAnsi="Times New Roman" w:eastAsia="宋体" w:cs="Times New Roman"/>
          <w:color w:val="auto"/>
          <w:kern w:val="0"/>
          <w:sz w:val="24"/>
          <w:szCs w:val="24"/>
        </w:rPr>
        <w:t>。</w:t>
      </w:r>
    </w:p>
    <w:p w14:paraId="728BB02A">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2、废气</w:t>
      </w:r>
      <w:r>
        <w:rPr>
          <w:rFonts w:hint="default" w:ascii="Times New Roman" w:hAnsi="Times New Roman" w:eastAsia="宋体" w:cs="Times New Roman"/>
          <w:color w:val="auto"/>
          <w:kern w:val="0"/>
          <w:sz w:val="24"/>
          <w:szCs w:val="24"/>
        </w:rPr>
        <w:tab/>
      </w:r>
    </w:p>
    <w:p w14:paraId="3CE09A90">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有组织废气</w:t>
      </w:r>
    </w:p>
    <w:p w14:paraId="3113FA21">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验收监测期</w:t>
      </w:r>
      <w:r>
        <w:rPr>
          <w:rFonts w:hint="default" w:ascii="Times New Roman" w:hAnsi="Times New Roman" w:eastAsia="宋体" w:cs="Times New Roman"/>
          <w:color w:val="auto"/>
          <w:kern w:val="0"/>
          <w:sz w:val="24"/>
          <w:szCs w:val="24"/>
          <w:lang w:val="en-US" w:eastAsia="zh-CN"/>
        </w:rPr>
        <w:t>间，北侧清洁、PP处理废气处理设施排气筒出口（DA001-2）中非甲烷总烃的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5.72</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2.97×10</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kg/h，乙酸酯类的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0.407</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2.10×10</w:t>
      </w:r>
      <w:r>
        <w:rPr>
          <w:rFonts w:hint="default" w:ascii="Times New Roman" w:hAnsi="Times New Roman" w:eastAsia="宋体" w:cs="Times New Roman"/>
          <w:color w:val="auto"/>
          <w:kern w:val="0"/>
          <w:sz w:val="24"/>
          <w:szCs w:val="24"/>
          <w:vertAlign w:val="superscript"/>
          <w:lang w:val="en-US" w:eastAsia="zh-CN"/>
        </w:rPr>
        <w:t>-3</w:t>
      </w:r>
      <w:r>
        <w:rPr>
          <w:rFonts w:hint="default" w:ascii="Times New Roman" w:hAnsi="Times New Roman" w:eastAsia="宋体" w:cs="Times New Roman"/>
          <w:color w:val="auto"/>
          <w:kern w:val="0"/>
          <w:sz w:val="24"/>
          <w:szCs w:val="24"/>
          <w:lang w:val="en-US" w:eastAsia="zh-CN"/>
        </w:rPr>
        <w:t>kg/h，臭气浓度的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131</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无量纲</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，低浓度颗粒物的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val="en-US" w:eastAsia="zh-CN"/>
        </w:rPr>
        <w:t>，低浓度颗粒物、非甲烷总烃、乙酸酯类、臭气浓度检测结果符合《工业涂装工序大气污染物排放标准》（DB33/2146-2018）中表1限值要求。</w:t>
      </w:r>
    </w:p>
    <w:p w14:paraId="721008C3">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验收监测期</w:t>
      </w:r>
      <w:r>
        <w:rPr>
          <w:rFonts w:hint="default" w:ascii="Times New Roman" w:hAnsi="Times New Roman" w:eastAsia="宋体" w:cs="Times New Roman"/>
          <w:color w:val="auto"/>
          <w:kern w:val="0"/>
          <w:sz w:val="24"/>
          <w:szCs w:val="24"/>
          <w:lang w:val="en-US" w:eastAsia="zh-CN"/>
        </w:rPr>
        <w:t>间，南侧清洁、PP处理废气处理设施排气筒出口（DA002-2）中非甲烷总烃的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5.19</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2.12×10</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kg/h，乙酸酯类的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0.099</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4.05×10</w:t>
      </w:r>
      <w:r>
        <w:rPr>
          <w:rFonts w:hint="default" w:ascii="Times New Roman" w:hAnsi="Times New Roman" w:eastAsia="宋体" w:cs="Times New Roman"/>
          <w:color w:val="auto"/>
          <w:kern w:val="0"/>
          <w:sz w:val="24"/>
          <w:szCs w:val="24"/>
          <w:vertAlign w:val="superscript"/>
          <w:lang w:val="en-US" w:eastAsia="zh-CN"/>
        </w:rPr>
        <w:t>-4</w:t>
      </w:r>
      <w:r>
        <w:rPr>
          <w:rFonts w:hint="default" w:ascii="Times New Roman" w:hAnsi="Times New Roman" w:eastAsia="宋体" w:cs="Times New Roman"/>
          <w:color w:val="auto"/>
          <w:kern w:val="0"/>
          <w:sz w:val="24"/>
          <w:szCs w:val="24"/>
          <w:lang w:val="en-US" w:eastAsia="zh-CN"/>
        </w:rPr>
        <w:t>kg/h，臭气浓度的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199</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无量纲</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，低浓度颗粒物的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val="en-US" w:eastAsia="zh-CN"/>
        </w:rPr>
        <w:t>，低浓度颗粒物、非甲烷总烃、乙酸酯类、臭气浓度检测结果符合《工业涂装工序大气污染物排放标准》（DB33/2146-2018）中表1限值要求。</w:t>
      </w:r>
    </w:p>
    <w:p w14:paraId="2D7C9468">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验收监测期</w:t>
      </w:r>
      <w:r>
        <w:rPr>
          <w:rFonts w:hint="default" w:ascii="Times New Roman" w:hAnsi="Times New Roman" w:eastAsia="宋体" w:cs="Times New Roman"/>
          <w:color w:val="auto"/>
          <w:kern w:val="0"/>
          <w:sz w:val="24"/>
          <w:szCs w:val="24"/>
          <w:lang w:val="en-US" w:eastAsia="zh-CN"/>
        </w:rPr>
        <w:t>间，北侧调配、清洁、喷漆、流平光固化废气处理设施出口（DA003-2）中非甲烷总烃的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7.90</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0.136kg/h，乙酸酯类的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0.270</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4.66×10</w:t>
      </w:r>
      <w:r>
        <w:rPr>
          <w:rFonts w:hint="default" w:ascii="Times New Roman" w:hAnsi="Times New Roman" w:eastAsia="宋体" w:cs="Times New Roman"/>
          <w:color w:val="auto"/>
          <w:kern w:val="0"/>
          <w:sz w:val="24"/>
          <w:szCs w:val="24"/>
          <w:vertAlign w:val="superscript"/>
          <w:lang w:val="en-US" w:eastAsia="zh-CN"/>
        </w:rPr>
        <w:t>-3</w:t>
      </w:r>
      <w:r>
        <w:rPr>
          <w:rFonts w:hint="default" w:ascii="Times New Roman" w:hAnsi="Times New Roman" w:eastAsia="宋体" w:cs="Times New Roman"/>
          <w:color w:val="auto"/>
          <w:kern w:val="0"/>
          <w:sz w:val="24"/>
          <w:szCs w:val="24"/>
          <w:lang w:val="en-US" w:eastAsia="zh-CN"/>
        </w:rPr>
        <w:t>kg/h，臭气浓度的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173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无量纲</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，低浓度颗粒物的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val="en-US" w:eastAsia="zh-CN"/>
        </w:rPr>
        <w:t>，低浓度颗粒物、非甲烷总烃、乙酸酯类、臭气浓度检测结果符合《工业涂装工序大气污染物排放标准》（DB33/2146-2018）中表1限值要求。</w:t>
      </w:r>
    </w:p>
    <w:p w14:paraId="48785F04">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验收监测期</w:t>
      </w:r>
      <w:r>
        <w:rPr>
          <w:rFonts w:hint="default" w:ascii="Times New Roman" w:hAnsi="Times New Roman" w:eastAsia="宋体" w:cs="Times New Roman"/>
          <w:color w:val="auto"/>
          <w:kern w:val="0"/>
          <w:sz w:val="24"/>
          <w:szCs w:val="24"/>
          <w:lang w:val="en-US" w:eastAsia="zh-CN"/>
        </w:rPr>
        <w:t>间，南侧调配、清洁、喷漆、流平光固化废气处理设施出口（DA004-2）中非甲烷总烃的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6.49</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0.121kg/h，乙酸酯类的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0.291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排放</w:t>
      </w:r>
      <w:r>
        <w:rPr>
          <w:rFonts w:hint="default" w:ascii="Times New Roman" w:hAnsi="Times New Roman" w:eastAsia="宋体" w:cs="Times New Roman"/>
          <w:color w:val="auto"/>
          <w:kern w:val="0"/>
          <w:sz w:val="24"/>
          <w:szCs w:val="24"/>
          <w:lang w:val="en-US" w:eastAsia="zh-CN"/>
        </w:rPr>
        <w:t>速率</w:t>
      </w:r>
      <w:r>
        <w:rPr>
          <w:rFonts w:hint="default" w:ascii="Times New Roman" w:hAnsi="Times New Roman" w:eastAsia="宋体" w:cs="Times New Roman"/>
          <w:color w:val="auto"/>
          <w:kern w:val="0"/>
          <w:sz w:val="24"/>
          <w:szCs w:val="24"/>
        </w:rPr>
        <w:t>最大值为</w:t>
      </w:r>
      <w:r>
        <w:rPr>
          <w:rFonts w:hint="default" w:ascii="Times New Roman" w:hAnsi="Times New Roman" w:eastAsia="宋体" w:cs="Times New Roman"/>
          <w:color w:val="auto"/>
          <w:kern w:val="0"/>
          <w:sz w:val="24"/>
          <w:szCs w:val="24"/>
          <w:lang w:val="en-US" w:eastAsia="zh-CN"/>
        </w:rPr>
        <w:t>5.36×10</w:t>
      </w:r>
      <w:r>
        <w:rPr>
          <w:rFonts w:hint="default" w:ascii="Times New Roman" w:hAnsi="Times New Roman" w:eastAsia="宋体" w:cs="Times New Roman"/>
          <w:color w:val="auto"/>
          <w:kern w:val="0"/>
          <w:sz w:val="24"/>
          <w:szCs w:val="24"/>
          <w:vertAlign w:val="superscript"/>
          <w:lang w:val="en-US" w:eastAsia="zh-CN"/>
        </w:rPr>
        <w:t>-3</w:t>
      </w:r>
      <w:r>
        <w:rPr>
          <w:rFonts w:hint="default" w:ascii="Times New Roman" w:hAnsi="Times New Roman" w:eastAsia="宋体" w:cs="Times New Roman"/>
          <w:color w:val="auto"/>
          <w:kern w:val="0"/>
          <w:sz w:val="24"/>
          <w:szCs w:val="24"/>
          <w:lang w:val="en-US" w:eastAsia="zh-CN"/>
        </w:rPr>
        <w:t>kg/h，臭气浓度的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269</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无量纲</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，低浓度颗粒物的</w:t>
      </w:r>
      <w:r>
        <w:rPr>
          <w:rFonts w:hint="default" w:ascii="Times New Roman" w:hAnsi="Times New Roman" w:eastAsia="宋体" w:cs="Times New Roman"/>
          <w:color w:val="auto"/>
          <w:kern w:val="0"/>
          <w:sz w:val="24"/>
          <w:szCs w:val="24"/>
        </w:rPr>
        <w:t>排放浓度最大值为</w:t>
      </w: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val="en-US" w:eastAsia="zh-CN"/>
        </w:rPr>
        <w:t>，低浓度颗粒物、非甲烷总烃、乙酸酯类、臭气浓度检测结果符合《工业涂装工序大气污染物排放标准》（DB33/2146-2018）中表1限值要求</w:t>
      </w:r>
      <w:r>
        <w:rPr>
          <w:rFonts w:hint="default" w:ascii="Times New Roman" w:hAnsi="Times New Roman" w:eastAsia="宋体" w:cs="Times New Roman"/>
          <w:color w:val="auto"/>
          <w:kern w:val="0"/>
          <w:sz w:val="24"/>
          <w:szCs w:val="24"/>
        </w:rPr>
        <w:t>。</w:t>
      </w:r>
    </w:p>
    <w:p w14:paraId="23CE52E9">
      <w:pPr>
        <w:keepNext w:val="0"/>
        <w:keepLines w:val="0"/>
        <w:pageBreakBefore w:val="0"/>
        <w:widowControl w:val="0"/>
        <w:kinsoku/>
        <w:wordWrap/>
        <w:overflowPunct/>
        <w:topLinePunct w:val="0"/>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2</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无组织废气</w:t>
      </w:r>
    </w:p>
    <w:p w14:paraId="2657CF0F">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验收监测期间，厂界颗粒物</w:t>
      </w:r>
      <w:r>
        <w:rPr>
          <w:rFonts w:hint="default" w:ascii="Times New Roman" w:hAnsi="Times New Roman" w:eastAsia="宋体" w:cs="Times New Roman"/>
          <w:color w:val="auto"/>
          <w:kern w:val="0"/>
          <w:sz w:val="24"/>
          <w:szCs w:val="24"/>
          <w:lang w:val="en-US" w:eastAsia="zh-CN"/>
        </w:rPr>
        <w:t>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0.335</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二氧化硫的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0.016</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氮氧化物的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0.051</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颗粒物</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二氧化硫、氮氧化物检测结果均符合《大气污染物综合排放标准》（GB 16297-1996）表2限值要求。</w:t>
      </w:r>
    </w:p>
    <w:p w14:paraId="4EBB323B">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厂界</w:t>
      </w:r>
      <w:r>
        <w:rPr>
          <w:rFonts w:hint="default" w:ascii="Times New Roman" w:hAnsi="Times New Roman" w:eastAsia="宋体" w:cs="Times New Roman"/>
          <w:color w:val="auto"/>
          <w:kern w:val="0"/>
          <w:sz w:val="24"/>
          <w:szCs w:val="24"/>
          <w:lang w:val="en-US" w:eastAsia="zh-CN"/>
        </w:rPr>
        <w:t>非甲烷总烃的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1.95</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乙酸乙酯的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0.0406</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val="en-US" w:eastAsia="zh-CN"/>
        </w:rPr>
        <w:t>，乙酸丁酯的</w:t>
      </w:r>
      <w:r>
        <w:rPr>
          <w:rFonts w:hint="default" w:ascii="Times New Roman" w:hAnsi="Times New Roman" w:eastAsia="宋体" w:cs="Times New Roman"/>
          <w:color w:val="auto"/>
          <w:kern w:val="0"/>
          <w:sz w:val="24"/>
          <w:szCs w:val="24"/>
        </w:rPr>
        <w:t>最大小时浓度值为</w:t>
      </w:r>
      <w:r>
        <w:rPr>
          <w:rFonts w:hint="default" w:ascii="Times New Roman" w:hAnsi="Times New Roman" w:eastAsia="宋体" w:cs="Times New Roman"/>
          <w:color w:val="auto"/>
          <w:kern w:val="0"/>
          <w:sz w:val="24"/>
          <w:szCs w:val="24"/>
          <w:lang w:val="en-US" w:eastAsia="zh-CN"/>
        </w:rPr>
        <w:t>0.0103</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厂界臭气浓度均为未检出，最低检出浓度为10（无量纲），非甲烷总烃、乙酸乙酯、乙酸丁酯、臭气浓度检测结果均符合《工业涂装工序大气污染物排放标准》（DB33/2146-2018）中表 6的限值要求。</w:t>
      </w:r>
    </w:p>
    <w:p w14:paraId="32662A9E">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eastAsia="zh-CN"/>
        </w:rPr>
        <w:t>厂界内生产车间</w:t>
      </w:r>
      <w:r>
        <w:rPr>
          <w:rFonts w:hint="default" w:ascii="Times New Roman" w:hAnsi="Times New Roman" w:eastAsia="宋体" w:cs="Times New Roman"/>
          <w:color w:val="auto"/>
          <w:kern w:val="0"/>
          <w:sz w:val="24"/>
          <w:szCs w:val="24"/>
          <w:lang w:val="en-US" w:eastAsia="zh-CN"/>
        </w:rPr>
        <w:t>外</w:t>
      </w:r>
      <w:r>
        <w:rPr>
          <w:rFonts w:hint="default" w:ascii="Times New Roman" w:hAnsi="Times New Roman" w:eastAsia="宋体" w:cs="Times New Roman"/>
          <w:color w:val="auto"/>
          <w:kern w:val="0"/>
          <w:sz w:val="24"/>
          <w:szCs w:val="24"/>
          <w:lang w:eastAsia="zh-CN"/>
        </w:rPr>
        <w:t>非甲烷总烃</w:t>
      </w:r>
      <w:r>
        <w:rPr>
          <w:rFonts w:hint="default" w:ascii="Times New Roman" w:hAnsi="Times New Roman" w:eastAsia="宋体" w:cs="Times New Roman"/>
          <w:color w:val="auto"/>
          <w:kern w:val="0"/>
          <w:sz w:val="24"/>
          <w:szCs w:val="24"/>
        </w:rPr>
        <w:t>的最大小时</w:t>
      </w:r>
      <w:r>
        <w:rPr>
          <w:rFonts w:hint="default" w:ascii="Times New Roman" w:hAnsi="Times New Roman" w:eastAsia="宋体" w:cs="Times New Roman"/>
          <w:color w:val="auto"/>
          <w:kern w:val="0"/>
          <w:sz w:val="24"/>
          <w:szCs w:val="24"/>
          <w:lang w:val="en-US" w:eastAsia="zh-CN"/>
        </w:rPr>
        <w:t>均值</w:t>
      </w:r>
      <w:r>
        <w:rPr>
          <w:rFonts w:hint="default" w:ascii="Times New Roman" w:hAnsi="Times New Roman" w:eastAsia="宋体" w:cs="Times New Roman"/>
          <w:color w:val="auto"/>
          <w:kern w:val="0"/>
          <w:sz w:val="24"/>
          <w:szCs w:val="24"/>
        </w:rPr>
        <w:t>为</w:t>
      </w:r>
      <w:r>
        <w:rPr>
          <w:rFonts w:hint="default" w:ascii="Times New Roman" w:hAnsi="Times New Roman" w:eastAsia="宋体" w:cs="Times New Roman"/>
          <w:color w:val="auto"/>
          <w:kern w:val="0"/>
          <w:sz w:val="24"/>
          <w:szCs w:val="24"/>
          <w:lang w:val="en-US" w:eastAsia="zh-CN"/>
        </w:rPr>
        <w:t>2.97</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最大一次值为3.59</w:t>
      </w:r>
      <w:r>
        <w:rPr>
          <w:rFonts w:hint="default" w:ascii="Times New Roman" w:hAnsi="Times New Roman" w:eastAsia="宋体" w:cs="Times New Roman"/>
          <w:color w:val="auto"/>
          <w:kern w:val="0"/>
          <w:sz w:val="24"/>
          <w:szCs w:val="24"/>
        </w:rPr>
        <w:t>mg/m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rPr>
        <w:t>，</w:t>
      </w:r>
      <w:r>
        <w:rPr>
          <w:rFonts w:hint="default" w:ascii="Times New Roman" w:hAnsi="Times New Roman" w:eastAsia="宋体" w:cs="Times New Roman"/>
          <w:color w:val="auto"/>
          <w:kern w:val="0"/>
          <w:sz w:val="24"/>
          <w:szCs w:val="24"/>
          <w:lang w:val="en-US" w:eastAsia="zh-CN"/>
        </w:rPr>
        <w:t>结果均符合《挥发性有机物无组织排放控制标准》（GB 37822-2019）表A.1特别排放限值</w:t>
      </w:r>
      <w:r>
        <w:rPr>
          <w:rFonts w:hint="default" w:ascii="Times New Roman" w:hAnsi="Times New Roman" w:eastAsia="宋体" w:cs="Times New Roman"/>
          <w:color w:val="auto"/>
          <w:kern w:val="0"/>
          <w:sz w:val="24"/>
          <w:szCs w:val="24"/>
        </w:rPr>
        <w:t>。</w:t>
      </w:r>
    </w:p>
    <w:p w14:paraId="29542C3A">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3、噪声</w:t>
      </w:r>
    </w:p>
    <w:p w14:paraId="7625F087">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厂界</w:t>
      </w:r>
      <w:r>
        <w:rPr>
          <w:rFonts w:hint="default" w:ascii="Times New Roman" w:hAnsi="Times New Roman" w:eastAsia="宋体" w:cs="Times New Roman"/>
          <w:color w:val="auto"/>
          <w:kern w:val="0"/>
          <w:sz w:val="24"/>
          <w:szCs w:val="24"/>
          <w:lang w:val="en-US" w:eastAsia="zh-CN"/>
        </w:rPr>
        <w:t>东外、南外、西外、北外</w:t>
      </w:r>
      <w:r>
        <w:rPr>
          <w:rFonts w:hint="default" w:ascii="Times New Roman" w:hAnsi="Times New Roman" w:eastAsia="宋体" w:cs="Times New Roman"/>
          <w:color w:val="auto"/>
          <w:kern w:val="0"/>
          <w:sz w:val="24"/>
          <w:szCs w:val="24"/>
        </w:rPr>
        <w:t>昼间噪声</w:t>
      </w:r>
      <w:r>
        <w:rPr>
          <w:rFonts w:hint="default" w:ascii="Times New Roman" w:hAnsi="Times New Roman" w:eastAsia="宋体" w:cs="Times New Roman"/>
          <w:color w:val="auto"/>
          <w:kern w:val="0"/>
          <w:sz w:val="24"/>
          <w:szCs w:val="24"/>
          <w:lang w:val="en-US" w:eastAsia="zh-CN"/>
        </w:rPr>
        <w:t>Leq最大值分别为63</w:t>
      </w:r>
      <w:r>
        <w:rPr>
          <w:rFonts w:hint="default" w:ascii="Times New Roman" w:hAnsi="Times New Roman" w:eastAsia="宋体" w:cs="Times New Roman"/>
          <w:color w:val="auto"/>
          <w:kern w:val="0"/>
          <w:sz w:val="24"/>
          <w:szCs w:val="24"/>
        </w:rPr>
        <w:t>dB(A)</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62</w:t>
      </w:r>
      <w:r>
        <w:rPr>
          <w:rFonts w:hint="default" w:ascii="Times New Roman" w:hAnsi="Times New Roman" w:eastAsia="宋体" w:cs="Times New Roman"/>
          <w:color w:val="auto"/>
          <w:kern w:val="0"/>
          <w:sz w:val="24"/>
          <w:szCs w:val="24"/>
        </w:rPr>
        <w:t>dB(A)</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64</w:t>
      </w:r>
      <w:r>
        <w:rPr>
          <w:rFonts w:hint="default" w:ascii="Times New Roman" w:hAnsi="Times New Roman" w:eastAsia="宋体" w:cs="Times New Roman"/>
          <w:color w:val="auto"/>
          <w:kern w:val="0"/>
          <w:sz w:val="24"/>
          <w:szCs w:val="24"/>
        </w:rPr>
        <w:t>dB(A)</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64</w:t>
      </w:r>
      <w:r>
        <w:rPr>
          <w:rFonts w:hint="default" w:ascii="Times New Roman" w:hAnsi="Times New Roman" w:eastAsia="宋体" w:cs="Times New Roman"/>
          <w:color w:val="auto"/>
          <w:kern w:val="0"/>
          <w:sz w:val="24"/>
          <w:szCs w:val="24"/>
        </w:rPr>
        <w:t>dB(A)</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厂界东外昼间噪声检测结果均</w:t>
      </w:r>
      <w:r>
        <w:rPr>
          <w:rFonts w:hint="default" w:ascii="Times New Roman" w:hAnsi="Times New Roman" w:eastAsia="宋体" w:cs="Times New Roman"/>
          <w:color w:val="auto"/>
          <w:kern w:val="0"/>
          <w:sz w:val="24"/>
          <w:szCs w:val="24"/>
        </w:rPr>
        <w:t>符合《工业企业厂界噪声排放标准》</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GB</w:t>
      </w:r>
      <w:r>
        <w:rPr>
          <w:rFonts w:hint="default"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12348-2008</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表1</w:t>
      </w:r>
      <w:r>
        <w:rPr>
          <w:rFonts w:hint="default" w:ascii="Times New Roman" w:hAnsi="Times New Roman" w:eastAsia="宋体" w:cs="Times New Roman"/>
          <w:color w:val="auto"/>
          <w:kern w:val="0"/>
          <w:sz w:val="24"/>
          <w:szCs w:val="24"/>
        </w:rPr>
        <w:t>中</w:t>
      </w:r>
      <w:r>
        <w:rPr>
          <w:rFonts w:hint="default" w:ascii="Times New Roman" w:hAnsi="Times New Roman" w:eastAsia="宋体" w:cs="Times New Roman"/>
          <w:color w:val="auto"/>
          <w:kern w:val="0"/>
          <w:sz w:val="24"/>
          <w:szCs w:val="24"/>
          <w:lang w:val="en-US" w:eastAsia="zh-CN"/>
        </w:rPr>
        <w:t>的4类要求，厂界南外、西外、北外昼间噪声检测结果均</w:t>
      </w:r>
      <w:r>
        <w:rPr>
          <w:rFonts w:hint="default" w:ascii="Times New Roman" w:hAnsi="Times New Roman" w:eastAsia="宋体" w:cs="Times New Roman"/>
          <w:color w:val="auto"/>
          <w:kern w:val="0"/>
          <w:sz w:val="24"/>
          <w:szCs w:val="24"/>
        </w:rPr>
        <w:t>符合《工业企业厂界噪声排放标准》</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GB</w:t>
      </w:r>
      <w:r>
        <w:rPr>
          <w:rFonts w:hint="default"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12348-2008</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表1</w:t>
      </w:r>
      <w:r>
        <w:rPr>
          <w:rFonts w:hint="default" w:ascii="Times New Roman" w:hAnsi="Times New Roman" w:eastAsia="宋体" w:cs="Times New Roman"/>
          <w:color w:val="auto"/>
          <w:kern w:val="0"/>
          <w:sz w:val="24"/>
          <w:szCs w:val="24"/>
        </w:rPr>
        <w:t>中</w:t>
      </w:r>
      <w:r>
        <w:rPr>
          <w:rFonts w:hint="default" w:ascii="Times New Roman" w:hAnsi="Times New Roman" w:eastAsia="宋体" w:cs="Times New Roman"/>
          <w:color w:val="auto"/>
          <w:kern w:val="0"/>
          <w:sz w:val="24"/>
          <w:szCs w:val="24"/>
          <w:lang w:val="en-US" w:eastAsia="zh-CN"/>
        </w:rPr>
        <w:t>的3类要求</w:t>
      </w:r>
      <w:r>
        <w:rPr>
          <w:rFonts w:hint="default" w:ascii="Times New Roman" w:hAnsi="Times New Roman" w:eastAsia="宋体" w:cs="Times New Roman"/>
          <w:color w:val="auto"/>
          <w:kern w:val="0"/>
          <w:sz w:val="24"/>
          <w:szCs w:val="24"/>
        </w:rPr>
        <w:t>。</w:t>
      </w:r>
    </w:p>
    <w:p w14:paraId="3A59BF4A">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4、固废</w:t>
      </w:r>
    </w:p>
    <w:p w14:paraId="6F36640C">
      <w:pPr>
        <w:keepNext w:val="0"/>
        <w:keepLines w:val="0"/>
        <w:pageBreakBefore w:val="0"/>
        <w:kinsoku/>
        <w:wordWrap/>
        <w:overflowPunct/>
        <w:topLinePunct w:val="0"/>
        <w:autoSpaceDE/>
        <w:autoSpaceDN/>
        <w:bidi w:val="0"/>
        <w:spacing w:line="37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rPr>
        <w:t>项目在厂区</w:t>
      </w:r>
      <w:r>
        <w:rPr>
          <w:rFonts w:hint="default" w:ascii="Times New Roman" w:hAnsi="Times New Roman" w:eastAsia="宋体" w:cs="Times New Roman"/>
          <w:sz w:val="24"/>
          <w:szCs w:val="24"/>
          <w:lang w:val="en-US" w:eastAsia="zh-CN"/>
        </w:rPr>
        <w:t>设置危险固废暂存间，位于生产车间东北侧（占地30m</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lang w:val="en-US" w:eastAsia="zh-CN"/>
        </w:rPr>
        <w:t>），废UV面漆包装桶、废抹布、漆渣、喷淋废液、废过滤棉、废油漆、废填料、废活性炭分类收集后委托兰溪自立环保科技有限公司进行处置。</w:t>
      </w:r>
    </w:p>
    <w:p w14:paraId="53CBB9AD">
      <w:pPr>
        <w:keepNext w:val="0"/>
        <w:keepLines w:val="0"/>
        <w:pageBreakBefore w:val="0"/>
        <w:kinsoku/>
        <w:wordWrap/>
        <w:overflowPunct/>
        <w:topLinePunct w:val="0"/>
        <w:autoSpaceDE/>
        <w:autoSpaceDN/>
        <w:bidi w:val="0"/>
        <w:spacing w:line="370" w:lineRule="auto"/>
        <w:ind w:firstLine="480" w:firstLineChars="20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sz w:val="24"/>
          <w:szCs w:val="24"/>
          <w:lang w:val="en-US" w:eastAsia="zh-CN"/>
        </w:rPr>
        <w:t>一般固废：设置一般固废仓库，位于生产车间西南侧，</w:t>
      </w:r>
      <w:r>
        <w:rPr>
          <w:rFonts w:hint="eastAsia" w:ascii="Times New Roman" w:hAnsi="Times New Roman" w:eastAsia="宋体" w:cs="Times New Roman"/>
          <w:sz w:val="24"/>
          <w:szCs w:val="24"/>
          <w:lang w:val="en-US" w:eastAsia="zh-CN"/>
        </w:rPr>
        <w:t>一般废包装材料、不合格品等一般固废定期外售给物资单位</w:t>
      </w:r>
      <w:r>
        <w:rPr>
          <w:rFonts w:hint="default" w:ascii="Times New Roman" w:hAnsi="Times New Roman" w:eastAsia="宋体" w:cs="Times New Roman"/>
          <w:sz w:val="24"/>
          <w:szCs w:val="24"/>
          <w:lang w:val="en-US" w:eastAsia="zh-CN"/>
        </w:rPr>
        <w:t>。生活垃圾：委托环卫部门处置</w:t>
      </w:r>
      <w:r>
        <w:rPr>
          <w:rFonts w:hint="default" w:ascii="Times New Roman" w:hAnsi="Times New Roman" w:eastAsia="宋体" w:cs="Times New Roman"/>
          <w:color w:val="auto"/>
          <w:kern w:val="0"/>
          <w:sz w:val="24"/>
          <w:szCs w:val="24"/>
        </w:rPr>
        <w:t>。</w:t>
      </w:r>
    </w:p>
    <w:p w14:paraId="433B8C8B">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5、污染物排放总量</w:t>
      </w:r>
    </w:p>
    <w:p w14:paraId="7FADFEBB">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根据验收监测报告统计，</w:t>
      </w:r>
      <w:r>
        <w:rPr>
          <w:rFonts w:hint="eastAsia" w:ascii="Times New Roman" w:hAnsi="Times New Roman" w:eastAsia="宋体" w:cs="Times New Roman"/>
          <w:color w:val="000000"/>
          <w:sz w:val="24"/>
          <w:szCs w:val="24"/>
          <w:highlight w:val="none"/>
          <w:lang w:val="en-US" w:eastAsia="zh-CN"/>
        </w:rPr>
        <w:t>本项目污染物排放量COD</w:t>
      </w:r>
      <w:r>
        <w:rPr>
          <w:rFonts w:hint="eastAsia" w:ascii="Times New Roman" w:hAnsi="Times New Roman" w:eastAsia="宋体" w:cs="Times New Roman"/>
          <w:color w:val="000000"/>
          <w:sz w:val="24"/>
          <w:szCs w:val="24"/>
          <w:highlight w:val="none"/>
          <w:vertAlign w:val="subscript"/>
          <w:lang w:val="en-US" w:eastAsia="zh-CN"/>
        </w:rPr>
        <w:t>Cr</w:t>
      </w:r>
      <w:r>
        <w:rPr>
          <w:rFonts w:hint="eastAsia" w:ascii="Times New Roman" w:hAnsi="Times New Roman" w:eastAsia="宋体" w:cs="Times New Roman"/>
          <w:color w:val="000000"/>
          <w:sz w:val="24"/>
          <w:szCs w:val="24"/>
          <w:highlight w:val="none"/>
          <w:lang w:val="en-US" w:eastAsia="zh-CN"/>
        </w:rPr>
        <w:t>0.017吨/年、NH</w:t>
      </w:r>
      <w:r>
        <w:rPr>
          <w:rFonts w:hint="eastAsia" w:ascii="Times New Roman" w:hAnsi="Times New Roman" w:eastAsia="宋体" w:cs="Times New Roman"/>
          <w:color w:val="000000"/>
          <w:sz w:val="24"/>
          <w:szCs w:val="24"/>
          <w:highlight w:val="none"/>
          <w:vertAlign w:val="subscript"/>
          <w:lang w:val="en-US" w:eastAsia="zh-CN"/>
        </w:rPr>
        <w:t>3</w:t>
      </w:r>
      <w:r>
        <w:rPr>
          <w:rFonts w:hint="eastAsia" w:ascii="Times New Roman" w:hAnsi="Times New Roman" w:eastAsia="宋体" w:cs="Times New Roman"/>
          <w:color w:val="000000"/>
          <w:sz w:val="24"/>
          <w:szCs w:val="24"/>
          <w:highlight w:val="none"/>
          <w:lang w:val="en-US" w:eastAsia="zh-CN"/>
        </w:rPr>
        <w:t>-N0.002吨/年、VOC</w:t>
      </w:r>
      <w:r>
        <w:rPr>
          <w:rFonts w:hint="eastAsia" w:ascii="Times New Roman" w:hAnsi="Times New Roman" w:eastAsia="宋体" w:cs="Times New Roman"/>
          <w:color w:val="000000"/>
          <w:sz w:val="24"/>
          <w:szCs w:val="24"/>
          <w:highlight w:val="none"/>
          <w:vertAlign w:val="subscript"/>
          <w:lang w:val="en-US" w:eastAsia="zh-CN"/>
        </w:rPr>
        <w:t>S</w:t>
      </w:r>
      <w:r>
        <w:rPr>
          <w:rFonts w:hint="eastAsia" w:ascii="Times New Roman" w:hAnsi="Times New Roman" w:eastAsia="宋体" w:cs="Times New Roman"/>
          <w:color w:val="000000"/>
          <w:sz w:val="24"/>
          <w:szCs w:val="24"/>
          <w:highlight w:val="none"/>
          <w:lang w:val="en-US" w:eastAsia="zh-CN"/>
        </w:rPr>
        <w:t>0.703吨/年、颗粒物0.024吨/年，符合环评报告表及环评批复文件中主要污染物排放总量控制指标“COD</w:t>
      </w:r>
      <w:r>
        <w:rPr>
          <w:rFonts w:hint="eastAsia" w:ascii="Times New Roman" w:hAnsi="Times New Roman" w:eastAsia="宋体" w:cs="Times New Roman"/>
          <w:color w:val="000000"/>
          <w:sz w:val="24"/>
          <w:szCs w:val="24"/>
          <w:highlight w:val="none"/>
          <w:vertAlign w:val="subscript"/>
          <w:lang w:val="en-US" w:eastAsia="zh-CN"/>
        </w:rPr>
        <w:t>Cr</w:t>
      </w:r>
      <w:r>
        <w:rPr>
          <w:rFonts w:hint="eastAsia" w:ascii="Times New Roman" w:hAnsi="Times New Roman" w:eastAsia="宋体" w:cs="Times New Roman"/>
          <w:color w:val="000000"/>
          <w:sz w:val="24"/>
          <w:szCs w:val="24"/>
          <w:highlight w:val="none"/>
          <w:lang w:val="en-US" w:eastAsia="zh-CN"/>
        </w:rPr>
        <w:t>0.020吨/年、NH</w:t>
      </w:r>
      <w:r>
        <w:rPr>
          <w:rFonts w:hint="eastAsia" w:ascii="Times New Roman" w:hAnsi="Times New Roman" w:eastAsia="宋体" w:cs="Times New Roman"/>
          <w:color w:val="000000"/>
          <w:sz w:val="24"/>
          <w:szCs w:val="24"/>
          <w:highlight w:val="none"/>
          <w:vertAlign w:val="subscript"/>
          <w:lang w:val="en-US" w:eastAsia="zh-CN"/>
        </w:rPr>
        <w:t>3</w:t>
      </w:r>
      <w:r>
        <w:rPr>
          <w:rFonts w:hint="eastAsia" w:ascii="Times New Roman" w:hAnsi="Times New Roman" w:eastAsia="宋体" w:cs="Times New Roman"/>
          <w:color w:val="000000"/>
          <w:sz w:val="24"/>
          <w:szCs w:val="24"/>
          <w:highlight w:val="none"/>
          <w:lang w:val="en-US" w:eastAsia="zh-CN"/>
        </w:rPr>
        <w:t>-N0.002吨/年、VOC</w:t>
      </w:r>
      <w:r>
        <w:rPr>
          <w:rFonts w:hint="eastAsia" w:ascii="Times New Roman" w:hAnsi="Times New Roman" w:eastAsia="宋体" w:cs="Times New Roman"/>
          <w:color w:val="000000"/>
          <w:sz w:val="24"/>
          <w:szCs w:val="24"/>
          <w:highlight w:val="none"/>
          <w:vertAlign w:val="subscript"/>
          <w:lang w:val="en-US" w:eastAsia="zh-CN"/>
        </w:rPr>
        <w:t>S</w:t>
      </w:r>
      <w:r>
        <w:rPr>
          <w:rFonts w:hint="eastAsia" w:ascii="Times New Roman" w:hAnsi="Times New Roman" w:eastAsia="宋体" w:cs="Times New Roman"/>
          <w:color w:val="000000"/>
          <w:sz w:val="24"/>
          <w:szCs w:val="24"/>
          <w:highlight w:val="none"/>
          <w:lang w:val="en-US" w:eastAsia="zh-CN"/>
        </w:rPr>
        <w:t>0.881吨/年、颗粒物0.024吨/年”的总量控制要求</w:t>
      </w:r>
      <w:r>
        <w:rPr>
          <w:rFonts w:hint="default" w:ascii="Times New Roman" w:hAnsi="Times New Roman" w:eastAsia="宋体" w:cs="Times New Roman"/>
          <w:color w:val="auto"/>
          <w:kern w:val="0"/>
          <w:sz w:val="24"/>
          <w:szCs w:val="24"/>
        </w:rPr>
        <w:t>。</w:t>
      </w:r>
    </w:p>
    <w:p w14:paraId="2FB033B0">
      <w:pPr>
        <w:keepNext w:val="0"/>
        <w:keepLines w:val="0"/>
        <w:pageBreakBefore w:val="0"/>
        <w:widowControl w:val="0"/>
        <w:kinsoku/>
        <w:wordWrap/>
        <w:overflowPunct/>
        <w:topLinePunct w:val="0"/>
        <w:autoSpaceDE/>
        <w:autoSpaceDN/>
        <w:bidi w:val="0"/>
        <w:snapToGrid w:val="0"/>
        <w:spacing w:line="370" w:lineRule="auto"/>
        <w:ind w:right="0" w:firstLine="482" w:firstLineChars="200"/>
        <w:jc w:val="lef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五、工程建设对环境的影响</w:t>
      </w:r>
    </w:p>
    <w:p w14:paraId="49E8E563">
      <w:pPr>
        <w:keepNext w:val="0"/>
        <w:keepLines w:val="0"/>
        <w:pageBreakBefore w:val="0"/>
        <w:widowControl w:val="0"/>
        <w:kinsoku/>
        <w:wordWrap/>
        <w:overflowPunct/>
        <w:topLinePunct w:val="0"/>
        <w:autoSpaceDE/>
        <w:autoSpaceDN/>
        <w:bidi w:val="0"/>
        <w:snapToGrid w:val="0"/>
        <w:spacing w:line="37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根据项目验收监测结果分析可知，项目废水、废气及噪声均可达标排放、固废妥善处置，对周边环境影响不大。</w:t>
      </w:r>
    </w:p>
    <w:p w14:paraId="7FD5778C">
      <w:pPr>
        <w:keepNext w:val="0"/>
        <w:keepLines w:val="0"/>
        <w:pageBreakBefore w:val="0"/>
        <w:widowControl w:val="0"/>
        <w:kinsoku/>
        <w:wordWrap/>
        <w:overflowPunct/>
        <w:topLinePunct w:val="0"/>
        <w:bidi w:val="0"/>
        <w:snapToGrid w:val="0"/>
        <w:spacing w:line="360" w:lineRule="auto"/>
        <w:ind w:right="0" w:firstLine="482" w:firstLineChars="200"/>
        <w:jc w:val="lef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六、验收结论及后续要求</w:t>
      </w:r>
    </w:p>
    <w:p w14:paraId="3148A187">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依据《建设项目竣工环境保护验收暂行办法》，</w:t>
      </w:r>
      <w:r>
        <w:rPr>
          <w:rFonts w:hint="default" w:ascii="Times New Roman" w:hAnsi="Times New Roman" w:eastAsia="宋体" w:cs="Times New Roman"/>
          <w:color w:val="auto"/>
          <w:kern w:val="0"/>
          <w:sz w:val="24"/>
          <w:szCs w:val="24"/>
          <w:lang w:eastAsia="zh-CN"/>
        </w:rPr>
        <w:t>龙游锐鑫塑料制品有限公司年产3000万只塑料制品真空镀膜生产线项目</w:t>
      </w:r>
      <w:r>
        <w:rPr>
          <w:rFonts w:hint="default" w:ascii="Times New Roman" w:hAnsi="Times New Roman" w:eastAsia="宋体" w:cs="Times New Roman"/>
          <w:color w:val="auto"/>
          <w:kern w:val="0"/>
          <w:sz w:val="24"/>
          <w:szCs w:val="24"/>
        </w:rPr>
        <w:t>环保手续齐全，根据《验收监测报告》等资料及环境保护设施现场检查情况，企业已基本落实环评及审批要求的各项环境保护设施，不存在《建设项目竣工环境保护验收暂行办法》第八条中所列验收不合格的情形，基本符合竣工环保验收条件，原则同意通过环保竣工验收。</w:t>
      </w:r>
    </w:p>
    <w:p w14:paraId="7B633E53">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七、后续要求和建议：</w:t>
      </w:r>
    </w:p>
    <w:p w14:paraId="3CC4BE8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 xml:space="preserve">（一）加强项目现场及各环保设施（废水、废气）的运行管理，加强环境风险防范设施建设，规范固（危）废暂存场所建设与管理，完善相关台账管理制度，落实长效管理机制，确保各污染物长期稳定达标排放。 </w:t>
      </w:r>
    </w:p>
    <w:p w14:paraId="F50EE301">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（二）企业底漆回收和过滤均在危废仓库实施，应注意操作的密闭性，参照2025年9月15日部长信箱对相关问题的回复精神和《危险废物贮存污染控制标准》（GB 18597-2023）进行管理。</w:t>
      </w:r>
    </w:p>
    <w:p w14:paraId="950263C0">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（三）企业排气筒低于周边在建建筑，未来建议参照管理部门要求进行调整。</w:t>
      </w:r>
    </w:p>
    <w:p w14:paraId="3B631C5B">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eastAsia" w:ascii="Times New Roman" w:hAnsi="Times New Roman" w:cs="Times New Roman"/>
          <w:color w:val="000000"/>
          <w:kern w:val="0"/>
          <w:sz w:val="24"/>
          <w:szCs w:val="24"/>
          <w:lang w:eastAsia="zh-CN"/>
        </w:rPr>
        <w:t>（四）验收监测单位须按照《建设项目竣工环境保护验收技术指南 污染影</w:t>
      </w:r>
      <w:bookmarkStart w:id="0" w:name="_GoBack"/>
      <w:bookmarkEnd w:id="0"/>
      <w:r>
        <w:rPr>
          <w:rFonts w:hint="eastAsia" w:ascii="Times New Roman" w:hAnsi="Times New Roman" w:cs="Times New Roman"/>
          <w:color w:val="000000"/>
          <w:kern w:val="0"/>
          <w:sz w:val="24"/>
          <w:szCs w:val="24"/>
          <w:lang w:eastAsia="zh-CN"/>
        </w:rPr>
        <w:t>响类》等相关规范要求及验收现场会专家意见，进一步完善项目验收报告。</w:t>
      </w:r>
    </w:p>
    <w:p w14:paraId="0AD75AA0">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p>
    <w:p w14:paraId="40A0839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验收人员：</w:t>
      </w:r>
    </w:p>
    <w:p w14:paraId="6848FB05">
      <w:pPr>
        <w:keepNext w:val="0"/>
        <w:keepLines w:val="0"/>
        <w:pageBreakBefore w:val="0"/>
        <w:widowControl w:val="0"/>
        <w:kinsoku/>
        <w:wordWrap/>
        <w:overflowPunct/>
        <w:topLinePunct w:val="0"/>
        <w:bidi w:val="0"/>
        <w:snapToGrid w:val="0"/>
        <w:spacing w:line="360" w:lineRule="auto"/>
        <w:ind w:right="0" w:firstLine="480" w:firstLineChars="200"/>
        <w:jc w:val="righ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xml:space="preserve">                        </w:t>
      </w:r>
    </w:p>
    <w:p w14:paraId="4A444925">
      <w:pPr>
        <w:keepNext w:val="0"/>
        <w:keepLines w:val="0"/>
        <w:pageBreakBefore w:val="0"/>
        <w:widowControl w:val="0"/>
        <w:kinsoku/>
        <w:wordWrap/>
        <w:overflowPunct/>
        <w:topLinePunct w:val="0"/>
        <w:bidi w:val="0"/>
        <w:snapToGrid w:val="0"/>
        <w:spacing w:line="360" w:lineRule="auto"/>
        <w:ind w:right="0"/>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000000"/>
          <w:kern w:val="0"/>
          <w:sz w:val="24"/>
          <w:szCs w:val="24"/>
        </w:rPr>
        <w:t xml:space="preserve"> </w:t>
      </w:r>
      <w:r>
        <w:rPr>
          <w:rFonts w:hint="default" w:ascii="Times New Roman" w:hAnsi="Times New Roman" w:eastAsia="宋体" w:cs="Times New Roman"/>
          <w:color w:val="auto"/>
          <w:kern w:val="0"/>
          <w:sz w:val="24"/>
          <w:szCs w:val="24"/>
        </w:rPr>
        <w:t xml:space="preserve">                                   </w:t>
      </w:r>
      <w:r>
        <w:rPr>
          <w:rFonts w:hint="eastAsia" w:ascii="Times New Roman" w:hAnsi="Times New Roman" w:cs="Times New Roman"/>
          <w:color w:val="auto"/>
          <w:kern w:val="0"/>
          <w:sz w:val="24"/>
          <w:szCs w:val="24"/>
          <w:lang w:eastAsia="zh-CN"/>
        </w:rPr>
        <w:t>龙游锐鑫塑料制品有限公司</w:t>
      </w:r>
    </w:p>
    <w:p w14:paraId="319548FC">
      <w:pPr>
        <w:keepNext w:val="0"/>
        <w:keepLines w:val="0"/>
        <w:pageBreakBefore w:val="0"/>
        <w:widowControl w:val="0"/>
        <w:kinsoku/>
        <w:wordWrap/>
        <w:overflowPunct/>
        <w:topLinePunct w:val="0"/>
        <w:bidi w:val="0"/>
        <w:snapToGrid w:val="0"/>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w:t>
      </w:r>
      <w:r>
        <w:rPr>
          <w:rFonts w:hint="default" w:ascii="Times New Roman" w:hAnsi="Times New Roman" w:eastAsia="宋体" w:cs="Times New Roman"/>
          <w:color w:val="auto"/>
          <w:kern w:val="0"/>
          <w:sz w:val="24"/>
          <w:szCs w:val="24"/>
          <w:lang w:val="en-US" w:eastAsia="zh-CN"/>
        </w:rPr>
        <w:t>2025</w:t>
      </w:r>
      <w:r>
        <w:rPr>
          <w:rFonts w:hint="default" w:ascii="Times New Roman" w:hAnsi="Times New Roman" w:eastAsia="宋体" w:cs="Times New Roman"/>
          <w:color w:val="auto"/>
          <w:kern w:val="0"/>
          <w:sz w:val="24"/>
          <w:szCs w:val="24"/>
        </w:rPr>
        <w:t>年</w:t>
      </w:r>
      <w:r>
        <w:rPr>
          <w:rFonts w:hint="eastAsia" w:ascii="Times New Roman" w:hAnsi="Times New Roman" w:cs="Times New Roman"/>
          <w:color w:val="auto"/>
          <w:kern w:val="0"/>
          <w:sz w:val="24"/>
          <w:szCs w:val="24"/>
          <w:lang w:val="en-US" w:eastAsia="zh-CN"/>
        </w:rPr>
        <w:t>12</w:t>
      </w:r>
      <w:r>
        <w:rPr>
          <w:rFonts w:hint="default" w:ascii="Times New Roman" w:hAnsi="Times New Roman" w:eastAsia="宋体" w:cs="Times New Roman"/>
          <w:color w:val="auto"/>
          <w:kern w:val="0"/>
          <w:sz w:val="24"/>
          <w:szCs w:val="24"/>
        </w:rPr>
        <w:t>月</w:t>
      </w:r>
      <w:r>
        <w:rPr>
          <w:rFonts w:hint="eastAsia" w:ascii="Times New Roman" w:hAnsi="Times New Roman" w:cs="Times New Roman"/>
          <w:color w:val="auto"/>
          <w:kern w:val="0"/>
          <w:sz w:val="24"/>
          <w:szCs w:val="24"/>
          <w:lang w:val="en-US" w:eastAsia="zh-CN"/>
        </w:rPr>
        <w:t>19</w:t>
      </w:r>
      <w:r>
        <w:rPr>
          <w:rFonts w:hint="default" w:ascii="Times New Roman" w:hAnsi="Times New Roman" w:eastAsia="宋体" w:cs="Times New Roman"/>
          <w:color w:val="auto"/>
          <w:kern w:val="0"/>
          <w:sz w:val="24"/>
          <w:szCs w:val="24"/>
        </w:rPr>
        <w:t xml:space="preserve">日 </w:t>
      </w:r>
      <w:r>
        <w:rPr>
          <w:rFonts w:hint="default" w:ascii="Times New Roman" w:hAnsi="Times New Roman" w:eastAsia="宋体" w:cs="Times New Roman"/>
          <w:color w:val="auto"/>
          <w:kern w:val="0"/>
          <w:sz w:val="24"/>
          <w:szCs w:val="24"/>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2118">
    <w:pPr>
      <w:pStyle w:val="12"/>
      <w:jc w:val="center"/>
    </w:pPr>
    <w:r>
      <w:fldChar w:fldCharType="begin"/>
    </w:r>
    <w:r>
      <w:instrText xml:space="preserve">PAGE   \* MERGEFORMAT</w:instrText>
    </w:r>
    <w:r>
      <w:fldChar w:fldCharType="separate"/>
    </w:r>
    <w:r>
      <w:rPr>
        <w:lang w:val="zh-CN"/>
      </w:rPr>
      <w:t>2</w:t>
    </w:r>
    <w:r>
      <w:fldChar w:fldCharType="end"/>
    </w:r>
  </w:p>
  <w:p w14:paraId="13CC2F2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2"/>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3"/>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4"/>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B34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qFormat/>
    <w:uiPriority w:val="0"/>
    <w:pPr>
      <w:keepNext/>
      <w:keepLines/>
      <w:numPr>
        <w:ilvl w:val="1"/>
        <w:numId w:val="1"/>
      </w:numPr>
      <w:spacing w:before="50" w:beforeLines="50" w:after="50" w:afterLines="50"/>
      <w:jc w:val="left"/>
      <w:outlineLvl w:val="1"/>
    </w:pPr>
    <w:rPr>
      <w:rFonts w:ascii="Times New Roman" w:hAnsi="Times New Roman" w:eastAsia="宋体" w:cs="Times New Roman"/>
      <w:b/>
      <w:bCs/>
      <w:sz w:val="24"/>
      <w:szCs w:val="32"/>
    </w:rPr>
  </w:style>
  <w:style w:type="paragraph" w:styleId="3">
    <w:name w:val="heading 3"/>
    <w:basedOn w:val="1"/>
    <w:next w:val="1"/>
    <w:qFormat/>
    <w:uiPriority w:val="0"/>
    <w:pPr>
      <w:keepNext/>
      <w:keepLines/>
      <w:numPr>
        <w:ilvl w:val="2"/>
        <w:numId w:val="1"/>
      </w:numPr>
      <w:spacing w:line="360" w:lineRule="auto"/>
      <w:outlineLvl w:val="2"/>
    </w:pPr>
    <w:rPr>
      <w:b/>
      <w:sz w:val="24"/>
    </w:rPr>
  </w:style>
  <w:style w:type="paragraph" w:styleId="4">
    <w:name w:val="heading 4"/>
    <w:basedOn w:val="1"/>
    <w:next w:val="1"/>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qFormat/>
    <w:uiPriority w:val="1"/>
  </w:style>
  <w:style w:type="table" w:default="1" w:styleId="15">
    <w:name w:val="Normal Table"/>
    <w:qFormat/>
    <w:uiPriority w:val="99"/>
    <w:tblPr>
      <w:tblCellMar>
        <w:top w:w="0" w:type="dxa"/>
        <w:left w:w="108" w:type="dxa"/>
        <w:bottom w:w="0" w:type="dxa"/>
        <w:right w:w="108" w:type="dxa"/>
      </w:tblCellMar>
    </w:tblPr>
  </w:style>
  <w:style w:type="paragraph" w:styleId="5">
    <w:name w:val="Normal Indent"/>
    <w:basedOn w:val="1"/>
    <w:next w:val="6"/>
    <w:link w:val="38"/>
    <w:qFormat/>
    <w:uiPriority w:val="0"/>
    <w:pPr>
      <w:spacing w:line="360" w:lineRule="auto"/>
      <w:ind w:firstLine="200" w:firstLineChars="200"/>
    </w:pPr>
    <w:rPr>
      <w:rFonts w:ascii="Times New Roman" w:hAnsi="Times New Roman" w:eastAsia="宋体" w:cs="Times New Roman"/>
      <w:sz w:val="24"/>
      <w:szCs w:val="24"/>
    </w:rPr>
  </w:style>
  <w:style w:type="paragraph" w:styleId="6">
    <w:name w:val="Body Text First Indent 2"/>
    <w:basedOn w:val="4"/>
    <w:next w:val="1"/>
    <w:qFormat/>
    <w:uiPriority w:val="0"/>
    <w:pPr>
      <w:tabs>
        <w:tab w:val="left" w:pos="420"/>
        <w:tab w:val="left" w:pos="870"/>
        <w:tab w:val="left" w:pos="3150"/>
      </w:tabs>
      <w:autoSpaceDE w:val="0"/>
      <w:autoSpaceDN w:val="0"/>
      <w:spacing w:beforeLines="25" w:line="336" w:lineRule="auto"/>
      <w:ind w:firstLine="527" w:firstLineChars="0"/>
    </w:pPr>
    <w:rPr>
      <w:rFonts w:ascii="宋体"/>
      <w:szCs w:val="28"/>
    </w:rPr>
  </w:style>
  <w:style w:type="paragraph" w:styleId="7">
    <w:name w:val="annotation text"/>
    <w:basedOn w:val="1"/>
    <w:link w:val="30"/>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8">
    <w:name w:val="Body Text"/>
    <w:basedOn w:val="1"/>
    <w:link w:val="34"/>
    <w:qFormat/>
    <w:uiPriority w:val="0"/>
    <w:pPr>
      <w:spacing w:after="120"/>
    </w:pPr>
    <w:rPr>
      <w:rFonts w:ascii="Times New Roman" w:hAnsi="Times New Roman" w:eastAsia="宋体" w:cs="Times New Roman"/>
      <w:szCs w:val="24"/>
    </w:rPr>
  </w:style>
  <w:style w:type="paragraph" w:styleId="9">
    <w:name w:val="Plain Text"/>
    <w:basedOn w:val="1"/>
    <w:next w:val="10"/>
    <w:qFormat/>
    <w:uiPriority w:val="99"/>
    <w:pPr>
      <w:widowControl/>
      <w:spacing w:beforeAutospacing="1" w:afterAutospacing="1"/>
      <w:jc w:val="left"/>
    </w:pPr>
    <w:rPr>
      <w:rFonts w:ascii="ˎ̥" w:hAnsi="ˎ̥"/>
      <w:sz w:val="18"/>
      <w:szCs w:val="18"/>
    </w:rPr>
  </w:style>
  <w:style w:type="paragraph" w:styleId="10">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1">
    <w:name w:val="Balloon Text"/>
    <w:basedOn w:val="1"/>
    <w:link w:val="33"/>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w:basedOn w:val="8"/>
    <w:qFormat/>
    <w:uiPriority w:val="0"/>
    <w:pPr>
      <w:adjustRightInd w:val="0"/>
      <w:snapToGrid w:val="0"/>
      <w:spacing w:line="336" w:lineRule="auto"/>
      <w:ind w:firstLine="20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0"/>
    <w:rPr>
      <w:color w:val="0563C1"/>
      <w:u w:val="single"/>
    </w:rPr>
  </w:style>
  <w:style w:type="paragraph" w:customStyle="1" w:styleId="19">
    <w:name w:val="正文首行缩进2个字 Char"/>
    <w:basedOn w:val="1"/>
    <w:qFormat/>
    <w:uiPriority w:val="0"/>
    <w:pPr>
      <w:ind w:firstLine="480" w:firstLineChars="200"/>
    </w:pPr>
    <w:rPr>
      <w:rFonts w:eastAsia="楷体"/>
      <w:sz w:val="24"/>
      <w:szCs w:val="24"/>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
    <w:name w:val="表格正文"/>
    <w:basedOn w:val="1"/>
    <w:qFormat/>
    <w:uiPriority w:val="0"/>
    <w:pPr>
      <w:spacing w:line="360" w:lineRule="exact"/>
      <w:jc w:val="center"/>
    </w:pPr>
    <w:rPr>
      <w:rFonts w:eastAsia="宋体"/>
      <w:color w:val="000000"/>
      <w:szCs w:val="24"/>
    </w:rPr>
  </w:style>
  <w:style w:type="paragraph" w:customStyle="1" w:styleId="22">
    <w:name w:val="列出段落1"/>
    <w:basedOn w:val="1"/>
    <w:qFormat/>
    <w:uiPriority w:val="99"/>
    <w:pPr>
      <w:ind w:firstLine="420" w:firstLineChars="200"/>
    </w:pPr>
  </w:style>
  <w:style w:type="paragraph" w:customStyle="1" w:styleId="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qFormat/>
    <w:uiPriority w:val="0"/>
    <w:pPr>
      <w:spacing w:line="440" w:lineRule="atLeast"/>
      <w:ind w:firstLine="200" w:firstLineChars="200"/>
    </w:pPr>
    <w:rPr>
      <w:sz w:val="24"/>
      <w:szCs w:val="20"/>
    </w:rPr>
  </w:style>
  <w:style w:type="paragraph" w:customStyle="1" w:styleId="26">
    <w:name w:val="正文文字缩进 2"/>
    <w:basedOn w:val="1"/>
    <w:qFormat/>
    <w:uiPriority w:val="0"/>
    <w:pPr>
      <w:spacing w:line="560" w:lineRule="exact"/>
      <w:ind w:firstLine="570"/>
    </w:pPr>
    <w:rPr>
      <w:szCs w:val="28"/>
    </w:rPr>
  </w:style>
  <w:style w:type="paragraph" w:customStyle="1" w:styleId="27">
    <w:name w:val="Table Paragraph"/>
    <w:basedOn w:val="1"/>
    <w:qFormat/>
    <w:uiPriority w:val="1"/>
    <w:pPr>
      <w:jc w:val="left"/>
    </w:pPr>
    <w:rPr>
      <w:kern w:val="0"/>
      <w:sz w:val="22"/>
      <w:lang w:eastAsia="en-US"/>
    </w:rPr>
  </w:style>
  <w:style w:type="paragraph" w:customStyle="1" w:styleId="28">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29">
    <w:name w:val="页眉 字符"/>
    <w:basedOn w:val="17"/>
    <w:link w:val="13"/>
    <w:qFormat/>
    <w:uiPriority w:val="0"/>
    <w:rPr>
      <w:rFonts w:ascii="Calibri" w:hAnsi="Calibri" w:eastAsia="宋体" w:cs="宋体"/>
      <w:kern w:val="2"/>
      <w:sz w:val="18"/>
      <w:szCs w:val="18"/>
    </w:rPr>
  </w:style>
  <w:style w:type="character" w:customStyle="1" w:styleId="30">
    <w:name w:val="批注文字 字符"/>
    <w:basedOn w:val="17"/>
    <w:link w:val="7"/>
    <w:qFormat/>
    <w:uiPriority w:val="99"/>
    <w:rPr>
      <w:kern w:val="2"/>
      <w:sz w:val="24"/>
      <w:szCs w:val="24"/>
    </w:rPr>
  </w:style>
  <w:style w:type="character" w:customStyle="1" w:styleId="31">
    <w:name w:val="文本 Char"/>
    <w:link w:val="32"/>
    <w:qFormat/>
    <w:uiPriority w:val="0"/>
    <w:rPr>
      <w:rFonts w:eastAsia="宋体" w:cs="宋体"/>
      <w:kern w:val="2"/>
      <w:sz w:val="24"/>
      <w:szCs w:val="22"/>
    </w:rPr>
  </w:style>
  <w:style w:type="paragraph" w:customStyle="1" w:styleId="32">
    <w:name w:val="文本"/>
    <w:basedOn w:val="1"/>
    <w:link w:val="31"/>
    <w:qFormat/>
    <w:uiPriority w:val="0"/>
    <w:pPr>
      <w:spacing w:line="360" w:lineRule="auto"/>
      <w:ind w:firstLine="480" w:firstLineChars="200"/>
      <w:jc w:val="left"/>
    </w:pPr>
    <w:rPr>
      <w:rFonts w:ascii="Times New Roman" w:hAnsi="Times New Roman"/>
      <w:sz w:val="24"/>
    </w:rPr>
  </w:style>
  <w:style w:type="character" w:customStyle="1" w:styleId="33">
    <w:name w:val="批注框文本 字符"/>
    <w:basedOn w:val="17"/>
    <w:link w:val="11"/>
    <w:qFormat/>
    <w:uiPriority w:val="0"/>
    <w:rPr>
      <w:rFonts w:ascii="Calibri" w:hAnsi="Calibri" w:eastAsia="宋体" w:cs="宋体"/>
      <w:kern w:val="2"/>
      <w:sz w:val="18"/>
      <w:szCs w:val="18"/>
    </w:rPr>
  </w:style>
  <w:style w:type="character" w:customStyle="1" w:styleId="34">
    <w:name w:val="正文文本 字符"/>
    <w:basedOn w:val="17"/>
    <w:link w:val="8"/>
    <w:qFormat/>
    <w:uiPriority w:val="0"/>
    <w:rPr>
      <w:kern w:val="2"/>
      <w:sz w:val="21"/>
      <w:szCs w:val="24"/>
    </w:rPr>
  </w:style>
  <w:style w:type="paragraph" w:styleId="35">
    <w:name w:val="List Paragraph"/>
    <w:basedOn w:val="1"/>
    <w:qFormat/>
    <w:uiPriority w:val="34"/>
    <w:pPr>
      <w:ind w:firstLine="420" w:firstLineChars="200"/>
    </w:pPr>
  </w:style>
  <w:style w:type="table" w:customStyle="1" w:styleId="36">
    <w:name w:val="TableGrid"/>
    <w:qFormat/>
    <w:uiPriority w:val="0"/>
    <w:tblPr>
      <w:tblCellMar>
        <w:top w:w="0" w:type="dxa"/>
        <w:left w:w="0" w:type="dxa"/>
        <w:bottom w:w="0" w:type="dxa"/>
        <w:right w:w="0" w:type="dxa"/>
      </w:tblCellMar>
    </w:tblPr>
  </w:style>
  <w:style w:type="character" w:customStyle="1" w:styleId="37">
    <w:name w:val="Unresolved Mention"/>
    <w:basedOn w:val="17"/>
    <w:qFormat/>
    <w:uiPriority w:val="99"/>
    <w:rPr>
      <w:color w:val="605E5C"/>
      <w:shd w:val="clear" w:color="auto" w:fill="E1DFDD"/>
    </w:rPr>
  </w:style>
  <w:style w:type="character" w:customStyle="1" w:styleId="38">
    <w:name w:val="正文缩进 字符"/>
    <w:link w:val="5"/>
    <w:qFormat/>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4831</Words>
  <Characters>5670</Characters>
  <Paragraphs>92</Paragraphs>
  <TotalTime>5</TotalTime>
  <ScaleCrop>false</ScaleCrop>
  <LinksUpToDate>false</LinksUpToDate>
  <CharactersWithSpaces>5778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2018-01-08T02:45:00Z</dcterms:created>
  <dc:creator>七个柚子</dc:creator>
  <cp:lastModifiedBy>L.Q.B</cp:lastModifiedBy>
  <cp:lastPrinted>2025-09-29T13:07:00Z</cp:lastPrinted>
  <dcterms:modified xsi:type="dcterms:W3CDTF">2025-12-25T08:13:55Z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01F1F1FFCB2C440A96261EBF22903433_13</vt:lpwstr>
  </property>
  <property fmtid="{D5CDD505-2E9C-101B-9397-08002B2CF9AE}" pid="4" name="KSOTemplateDocerSaveRecord">
    <vt:lpwstr>eyJoZGlkIjoiYmU3YjI1NzlmZjU5M2QyNGQ2NzMzYTZlNDY3YjdlOTkiLCJ1c2VySWQiOiIzMjQ2MDUwMDQifQ==</vt:lpwstr>
  </property>
</Properties>
</file>